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7C138" w14:textId="5A69F8CF" w:rsidR="00226365" w:rsidRPr="00B01FA3" w:rsidRDefault="00226365">
      <w:pPr>
        <w:rPr>
          <w:rFonts w:asciiTheme="minorHAnsi" w:hAnsiTheme="minorHAnsi"/>
          <w:b/>
          <w:bCs/>
          <w:sz w:val="32"/>
          <w:szCs w:val="28"/>
        </w:rPr>
      </w:pPr>
      <w:r w:rsidRPr="00B01FA3">
        <w:rPr>
          <w:rFonts w:asciiTheme="minorHAnsi" w:hAnsiTheme="minorHAnsi"/>
          <w:b/>
          <w:bCs/>
          <w:sz w:val="32"/>
          <w:szCs w:val="28"/>
        </w:rPr>
        <w:t>Glossary for teaching Buddhism</w:t>
      </w:r>
    </w:p>
    <w:p w14:paraId="40A8B22E" w14:textId="77777777" w:rsidR="002455CC" w:rsidRPr="00B01FA3" w:rsidRDefault="002455CC">
      <w:pPr>
        <w:rPr>
          <w:rFonts w:asciiTheme="minorHAnsi" w:hAnsiTheme="minorHAnsi"/>
          <w:b/>
          <w:bCs/>
        </w:rPr>
      </w:pPr>
    </w:p>
    <w:p w14:paraId="70C81922" w14:textId="0601890E" w:rsidR="00B01FA3" w:rsidRPr="00B01FA3" w:rsidRDefault="00B01FA3">
      <w:pPr>
        <w:rPr>
          <w:rFonts w:asciiTheme="minorHAnsi" w:hAnsiTheme="minorHAnsi"/>
        </w:rPr>
      </w:pPr>
      <w:r w:rsidRPr="00B01FA3">
        <w:rPr>
          <w:rFonts w:asciiTheme="minorHAnsi" w:hAnsiTheme="minorHAnsi"/>
        </w:rPr>
        <w:t>Prof Naomi Appleton, University of Edinburgh, May 2024.</w:t>
      </w:r>
    </w:p>
    <w:p w14:paraId="0CAD8B2B" w14:textId="77777777" w:rsidR="00B01FA3" w:rsidRPr="00B01FA3" w:rsidRDefault="00B01FA3">
      <w:pPr>
        <w:rPr>
          <w:rFonts w:asciiTheme="minorHAnsi" w:hAnsiTheme="minorHAnsi"/>
        </w:rPr>
      </w:pPr>
    </w:p>
    <w:p w14:paraId="461ACC70" w14:textId="68E8D166" w:rsidR="002455CC" w:rsidRPr="00B01FA3" w:rsidRDefault="002455CC">
      <w:pPr>
        <w:rPr>
          <w:rFonts w:asciiTheme="minorHAnsi" w:hAnsiTheme="minorHAnsi"/>
        </w:rPr>
      </w:pPr>
      <w:r w:rsidRPr="00B01FA3">
        <w:rPr>
          <w:rFonts w:asciiTheme="minorHAnsi" w:hAnsiTheme="minorHAnsi"/>
        </w:rPr>
        <w:t xml:space="preserve">Choosing what terms to teach pupils and what language to use is tricky, especially when textbooks use different spellings and often contain mistakes. </w:t>
      </w:r>
      <w:r w:rsidR="00B01FA3" w:rsidRPr="00B01FA3">
        <w:rPr>
          <w:rFonts w:asciiTheme="minorHAnsi" w:hAnsiTheme="minorHAnsi"/>
        </w:rPr>
        <w:t xml:space="preserve">Here is a short glossary that I use to help </w:t>
      </w:r>
      <w:proofErr w:type="gramStart"/>
      <w:r w:rsidR="00B01FA3" w:rsidRPr="00B01FA3">
        <w:rPr>
          <w:rFonts w:asciiTheme="minorHAnsi" w:hAnsiTheme="minorHAnsi"/>
        </w:rPr>
        <w:t>me</w:t>
      </w:r>
      <w:proofErr w:type="gramEnd"/>
      <w:r w:rsidR="00B01FA3" w:rsidRPr="00B01FA3">
        <w:rPr>
          <w:rFonts w:asciiTheme="minorHAnsi" w:hAnsiTheme="minorHAnsi"/>
        </w:rPr>
        <w:t xml:space="preserve"> and my students navigate the most impor</w:t>
      </w:r>
      <w:r w:rsidR="00A321BF">
        <w:rPr>
          <w:rFonts w:asciiTheme="minorHAnsi" w:hAnsiTheme="minorHAnsi"/>
        </w:rPr>
        <w:t>t</w:t>
      </w:r>
      <w:r w:rsidR="00B01FA3" w:rsidRPr="00B01FA3">
        <w:rPr>
          <w:rFonts w:asciiTheme="minorHAnsi" w:hAnsiTheme="minorHAnsi"/>
        </w:rPr>
        <w:t>ant terms.</w:t>
      </w:r>
    </w:p>
    <w:p w14:paraId="15B47F88" w14:textId="32BFAF6C" w:rsidR="002455CC" w:rsidRPr="00B01FA3" w:rsidRDefault="002455CC">
      <w:pPr>
        <w:rPr>
          <w:rFonts w:asciiTheme="minorHAnsi" w:hAnsiTheme="minorHAnsi"/>
        </w:rPr>
      </w:pPr>
      <w:r w:rsidRPr="00B01FA3">
        <w:rPr>
          <w:rFonts w:asciiTheme="minorHAnsi" w:hAnsiTheme="minorHAnsi"/>
        </w:rPr>
        <w:t>For more on my thoughts about terminology in the teaching of Buddhism, see my piece in the RE Today magazine in 2024.</w:t>
      </w:r>
    </w:p>
    <w:p w14:paraId="7F0927C0" w14:textId="77777777" w:rsidR="002455CC" w:rsidRPr="00B01FA3" w:rsidRDefault="002455CC">
      <w:pPr>
        <w:rPr>
          <w:rFonts w:asciiTheme="minorHAnsi" w:hAnsiTheme="minorHAnsi"/>
          <w:b/>
          <w:bCs/>
        </w:rPr>
      </w:pPr>
    </w:p>
    <w:p w14:paraId="0686581F" w14:textId="585A642D" w:rsidR="00521FC9" w:rsidRPr="00B01FA3" w:rsidRDefault="00924FFC">
      <w:pPr>
        <w:rPr>
          <w:rFonts w:asciiTheme="minorHAnsi" w:hAnsiTheme="minorHAnsi"/>
        </w:rPr>
      </w:pPr>
      <w:r w:rsidRPr="00B01FA3">
        <w:rPr>
          <w:rFonts w:asciiTheme="minorHAnsi" w:hAnsiTheme="minorHAnsi"/>
        </w:rPr>
        <w:t>Notes</w:t>
      </w:r>
    </w:p>
    <w:p w14:paraId="2D2662DB" w14:textId="3D3A7828" w:rsidR="00924FFC" w:rsidRPr="00B01FA3" w:rsidRDefault="00924FFC" w:rsidP="00924FFC">
      <w:pPr>
        <w:pStyle w:val="ListParagraph"/>
        <w:numPr>
          <w:ilvl w:val="0"/>
          <w:numId w:val="1"/>
        </w:numPr>
        <w:rPr>
          <w:rFonts w:asciiTheme="minorHAnsi" w:hAnsiTheme="minorHAnsi"/>
        </w:rPr>
      </w:pPr>
      <w:r w:rsidRPr="00B01FA3">
        <w:rPr>
          <w:rFonts w:asciiTheme="minorHAnsi" w:hAnsiTheme="minorHAnsi"/>
        </w:rPr>
        <w:t>The glossary is ordered according to the spelling of the first foreign language word, so English terms will not be in the correct alphabetical order. This is so that you can find the meanings of Sanskrit and Pali terms quickly.</w:t>
      </w:r>
      <w:r w:rsidR="00BC3A11" w:rsidRPr="00B01FA3">
        <w:rPr>
          <w:rFonts w:asciiTheme="minorHAnsi" w:hAnsiTheme="minorHAnsi"/>
        </w:rPr>
        <w:t xml:space="preserve"> It should not be taken as implying that I think the Sanskrit/Pali terms take priority for learning</w:t>
      </w:r>
      <w:r w:rsidR="00B01FA3" w:rsidRPr="00B01FA3">
        <w:rPr>
          <w:rFonts w:asciiTheme="minorHAnsi" w:hAnsiTheme="minorHAnsi"/>
        </w:rPr>
        <w:t xml:space="preserve"> – if the English term is there, that’s generally my preference, as it is unhelpful to overload students with lots of foreign terms.</w:t>
      </w:r>
    </w:p>
    <w:p w14:paraId="020FFF8C" w14:textId="56A517BC" w:rsidR="00521FC9" w:rsidRPr="00B01FA3" w:rsidRDefault="00924FFC" w:rsidP="00521FC9">
      <w:pPr>
        <w:pStyle w:val="ListParagraph"/>
        <w:numPr>
          <w:ilvl w:val="0"/>
          <w:numId w:val="1"/>
        </w:numPr>
        <w:rPr>
          <w:rFonts w:asciiTheme="minorHAnsi" w:hAnsiTheme="minorHAnsi"/>
        </w:rPr>
      </w:pPr>
      <w:r w:rsidRPr="00B01FA3">
        <w:rPr>
          <w:rFonts w:asciiTheme="minorHAnsi" w:hAnsiTheme="minorHAnsi"/>
        </w:rPr>
        <w:t>As a general principle: I</w:t>
      </w:r>
      <w:r w:rsidR="00521FC9" w:rsidRPr="00B01FA3">
        <w:rPr>
          <w:rFonts w:asciiTheme="minorHAnsi" w:hAnsiTheme="minorHAnsi"/>
        </w:rPr>
        <w:t>f there is an English word, use it. If there is not, then choose between Sanskrit and Pali depending on the context: if discussing Theravāda Buddhism specifically then use Pāli, otherwise use Sanskrit.</w:t>
      </w:r>
    </w:p>
    <w:p w14:paraId="4B08FE8F" w14:textId="5FC66DAA" w:rsidR="002455CC" w:rsidRPr="00B01FA3" w:rsidRDefault="002455CC" w:rsidP="00521FC9">
      <w:pPr>
        <w:pStyle w:val="ListParagraph"/>
        <w:numPr>
          <w:ilvl w:val="0"/>
          <w:numId w:val="1"/>
        </w:numPr>
        <w:rPr>
          <w:rFonts w:asciiTheme="minorHAnsi" w:hAnsiTheme="minorHAnsi"/>
        </w:rPr>
      </w:pPr>
      <w:r w:rsidRPr="00B01FA3">
        <w:rPr>
          <w:rFonts w:asciiTheme="minorHAnsi" w:hAnsiTheme="minorHAnsi"/>
        </w:rPr>
        <w:t>This list covers what I consider to be key terms, but you may encounter more, and if you want a reliable source for understanding the meaning and language spellings, try something like the Oxford Dictionary of Buddhism or the Routledge Encyclopedia of Buddhism (though actually Wikipedia generally isn’t bad either!).</w:t>
      </w:r>
    </w:p>
    <w:p w14:paraId="7C0FDC46" w14:textId="77777777" w:rsidR="00521FC9" w:rsidRPr="00B01FA3" w:rsidRDefault="00521FC9">
      <w:pPr>
        <w:rPr>
          <w:rFonts w:asciiTheme="minorHAnsi" w:hAnsiTheme="minorHAnsi"/>
        </w:rPr>
      </w:pPr>
    </w:p>
    <w:p w14:paraId="02D18170" w14:textId="77777777" w:rsidR="00226365" w:rsidRPr="00B01FA3" w:rsidRDefault="00226365">
      <w:pPr>
        <w:rPr>
          <w:rFonts w:asciiTheme="minorHAnsi" w:hAnsiTheme="minorHAnsi"/>
        </w:rPr>
      </w:pPr>
    </w:p>
    <w:tbl>
      <w:tblPr>
        <w:tblStyle w:val="TableGrid"/>
        <w:tblW w:w="14555" w:type="dxa"/>
        <w:tblLook w:val="04A0" w:firstRow="1" w:lastRow="0" w:firstColumn="1" w:lastColumn="0" w:noHBand="0" w:noVBand="1"/>
      </w:tblPr>
      <w:tblGrid>
        <w:gridCol w:w="2405"/>
        <w:gridCol w:w="1843"/>
        <w:gridCol w:w="2268"/>
        <w:gridCol w:w="8039"/>
      </w:tblGrid>
      <w:tr w:rsidR="00B01FA3" w:rsidRPr="00B01FA3" w14:paraId="000D34FE" w14:textId="56365F35" w:rsidTr="00B01FA3">
        <w:trPr>
          <w:trHeight w:val="438"/>
        </w:trPr>
        <w:tc>
          <w:tcPr>
            <w:tcW w:w="2405" w:type="dxa"/>
          </w:tcPr>
          <w:p w14:paraId="4B607615" w14:textId="0880B380" w:rsidR="00226365" w:rsidRPr="00B01FA3" w:rsidRDefault="00226365" w:rsidP="00041EB3">
            <w:pPr>
              <w:rPr>
                <w:rFonts w:asciiTheme="minorHAnsi" w:hAnsiTheme="minorHAnsi"/>
                <w:b/>
                <w:bCs/>
              </w:rPr>
            </w:pPr>
            <w:r w:rsidRPr="00B01FA3">
              <w:rPr>
                <w:rFonts w:asciiTheme="minorHAnsi" w:hAnsiTheme="minorHAnsi"/>
                <w:b/>
                <w:bCs/>
              </w:rPr>
              <w:t>English</w:t>
            </w:r>
          </w:p>
        </w:tc>
        <w:tc>
          <w:tcPr>
            <w:tcW w:w="1843" w:type="dxa"/>
          </w:tcPr>
          <w:p w14:paraId="4E9ED3E0" w14:textId="49A261E0" w:rsidR="00226365" w:rsidRPr="00B01FA3" w:rsidRDefault="00226365" w:rsidP="00041EB3">
            <w:pPr>
              <w:rPr>
                <w:rFonts w:asciiTheme="minorHAnsi" w:hAnsiTheme="minorHAnsi"/>
                <w:b/>
                <w:bCs/>
              </w:rPr>
            </w:pPr>
            <w:r w:rsidRPr="00B01FA3">
              <w:rPr>
                <w:rFonts w:asciiTheme="minorHAnsi" w:hAnsiTheme="minorHAnsi"/>
                <w:b/>
                <w:bCs/>
              </w:rPr>
              <w:t>Sanskrit</w:t>
            </w:r>
          </w:p>
        </w:tc>
        <w:tc>
          <w:tcPr>
            <w:tcW w:w="2268" w:type="dxa"/>
          </w:tcPr>
          <w:p w14:paraId="3E3326D2" w14:textId="4E0935B4" w:rsidR="00226365" w:rsidRPr="00B01FA3" w:rsidRDefault="00226365" w:rsidP="00041EB3">
            <w:pPr>
              <w:rPr>
                <w:rFonts w:asciiTheme="minorHAnsi" w:hAnsiTheme="minorHAnsi"/>
                <w:b/>
                <w:bCs/>
              </w:rPr>
            </w:pPr>
            <w:r w:rsidRPr="00B01FA3">
              <w:rPr>
                <w:rFonts w:asciiTheme="minorHAnsi" w:hAnsiTheme="minorHAnsi"/>
                <w:b/>
                <w:bCs/>
              </w:rPr>
              <w:t>Pali</w:t>
            </w:r>
          </w:p>
        </w:tc>
        <w:tc>
          <w:tcPr>
            <w:tcW w:w="8039" w:type="dxa"/>
          </w:tcPr>
          <w:p w14:paraId="7EEF5249" w14:textId="2461EEDA" w:rsidR="00226365" w:rsidRPr="00B01FA3" w:rsidRDefault="00226365" w:rsidP="00041EB3">
            <w:pPr>
              <w:rPr>
                <w:rFonts w:asciiTheme="minorHAnsi" w:hAnsiTheme="minorHAnsi"/>
                <w:b/>
                <w:bCs/>
              </w:rPr>
            </w:pPr>
            <w:r w:rsidRPr="00B01FA3">
              <w:rPr>
                <w:rFonts w:asciiTheme="minorHAnsi" w:hAnsiTheme="minorHAnsi"/>
                <w:b/>
                <w:bCs/>
              </w:rPr>
              <w:t>Meaning</w:t>
            </w:r>
          </w:p>
        </w:tc>
      </w:tr>
      <w:tr w:rsidR="00B01FA3" w:rsidRPr="00B01FA3" w14:paraId="2C3A5467" w14:textId="77777777" w:rsidTr="00B01FA3">
        <w:trPr>
          <w:trHeight w:val="457"/>
        </w:trPr>
        <w:tc>
          <w:tcPr>
            <w:tcW w:w="2405" w:type="dxa"/>
          </w:tcPr>
          <w:p w14:paraId="41CE3E13" w14:textId="77777777" w:rsidR="00521FC9" w:rsidRPr="00B01FA3" w:rsidRDefault="00521FC9" w:rsidP="00041EB3">
            <w:pPr>
              <w:rPr>
                <w:rFonts w:asciiTheme="minorHAnsi" w:hAnsiTheme="minorHAnsi"/>
              </w:rPr>
            </w:pPr>
          </w:p>
        </w:tc>
        <w:tc>
          <w:tcPr>
            <w:tcW w:w="1843" w:type="dxa"/>
          </w:tcPr>
          <w:p w14:paraId="20304961" w14:textId="01424DF2" w:rsidR="00521FC9" w:rsidRPr="00B01FA3" w:rsidRDefault="00521FC9" w:rsidP="00041EB3">
            <w:pPr>
              <w:rPr>
                <w:rFonts w:asciiTheme="minorHAnsi" w:hAnsiTheme="minorHAnsi"/>
              </w:rPr>
            </w:pPr>
            <w:r w:rsidRPr="00B01FA3">
              <w:rPr>
                <w:rFonts w:asciiTheme="minorHAnsi" w:hAnsiTheme="minorHAnsi"/>
              </w:rPr>
              <w:t>arhat</w:t>
            </w:r>
          </w:p>
        </w:tc>
        <w:tc>
          <w:tcPr>
            <w:tcW w:w="2268" w:type="dxa"/>
          </w:tcPr>
          <w:p w14:paraId="777BC5FB" w14:textId="35087507" w:rsidR="00521FC9" w:rsidRPr="00B01FA3" w:rsidRDefault="00521FC9" w:rsidP="00041EB3">
            <w:pPr>
              <w:rPr>
                <w:rFonts w:asciiTheme="minorHAnsi" w:hAnsiTheme="minorHAnsi"/>
              </w:rPr>
            </w:pPr>
            <w:r w:rsidRPr="00B01FA3">
              <w:rPr>
                <w:rFonts w:asciiTheme="minorHAnsi" w:hAnsiTheme="minorHAnsi"/>
              </w:rPr>
              <w:t>arahat</w:t>
            </w:r>
          </w:p>
        </w:tc>
        <w:tc>
          <w:tcPr>
            <w:tcW w:w="8039" w:type="dxa"/>
          </w:tcPr>
          <w:p w14:paraId="626733C7" w14:textId="4CB4DBF3" w:rsidR="00521FC9" w:rsidRPr="00B01FA3" w:rsidRDefault="00521FC9" w:rsidP="00041EB3">
            <w:pPr>
              <w:rPr>
                <w:rFonts w:asciiTheme="minorHAnsi" w:hAnsiTheme="minorHAnsi"/>
              </w:rPr>
            </w:pPr>
            <w:r w:rsidRPr="00B01FA3">
              <w:rPr>
                <w:rFonts w:asciiTheme="minorHAnsi" w:hAnsiTheme="minorHAnsi"/>
              </w:rPr>
              <w:t>a “worthy one”, in other words someone who has achieved liberation, often used to refer to liberated disciples of the Buddha (though the Buddha himself is also an arhat)</w:t>
            </w:r>
          </w:p>
        </w:tc>
      </w:tr>
      <w:tr w:rsidR="00B01FA3" w:rsidRPr="00B01FA3" w14:paraId="1C299DB6" w14:textId="77777777" w:rsidTr="00B01FA3">
        <w:trPr>
          <w:trHeight w:val="457"/>
        </w:trPr>
        <w:tc>
          <w:tcPr>
            <w:tcW w:w="2405" w:type="dxa"/>
          </w:tcPr>
          <w:p w14:paraId="15A331E1" w14:textId="77777777" w:rsidR="00924FFC" w:rsidRPr="00B01FA3" w:rsidRDefault="00924FFC" w:rsidP="00E01B24">
            <w:pPr>
              <w:rPr>
                <w:rFonts w:asciiTheme="minorHAnsi" w:hAnsiTheme="minorHAnsi"/>
              </w:rPr>
            </w:pPr>
            <w:r w:rsidRPr="00B01FA3">
              <w:rPr>
                <w:rFonts w:asciiTheme="minorHAnsi" w:hAnsiTheme="minorHAnsi"/>
              </w:rPr>
              <w:t>not-self</w:t>
            </w:r>
          </w:p>
        </w:tc>
        <w:tc>
          <w:tcPr>
            <w:tcW w:w="1843" w:type="dxa"/>
          </w:tcPr>
          <w:p w14:paraId="30BD3E82" w14:textId="77777777" w:rsidR="00924FFC" w:rsidRPr="00B01FA3" w:rsidRDefault="00924FFC" w:rsidP="00E01B24">
            <w:pPr>
              <w:rPr>
                <w:rFonts w:asciiTheme="minorHAnsi" w:hAnsiTheme="minorHAnsi"/>
              </w:rPr>
            </w:pPr>
            <w:r w:rsidRPr="00B01FA3">
              <w:rPr>
                <w:rFonts w:asciiTheme="minorHAnsi" w:hAnsiTheme="minorHAnsi"/>
              </w:rPr>
              <w:t>anātman</w:t>
            </w:r>
          </w:p>
        </w:tc>
        <w:tc>
          <w:tcPr>
            <w:tcW w:w="2268" w:type="dxa"/>
          </w:tcPr>
          <w:p w14:paraId="6713DCC9" w14:textId="77777777" w:rsidR="00924FFC" w:rsidRPr="00B01FA3" w:rsidRDefault="00924FFC" w:rsidP="00E01B24">
            <w:pPr>
              <w:rPr>
                <w:rFonts w:asciiTheme="minorHAnsi" w:hAnsiTheme="minorHAnsi"/>
              </w:rPr>
            </w:pPr>
            <w:r w:rsidRPr="00B01FA3">
              <w:rPr>
                <w:rFonts w:asciiTheme="minorHAnsi" w:hAnsiTheme="minorHAnsi"/>
              </w:rPr>
              <w:t>anattā</w:t>
            </w:r>
          </w:p>
        </w:tc>
        <w:tc>
          <w:tcPr>
            <w:tcW w:w="8039" w:type="dxa"/>
          </w:tcPr>
          <w:p w14:paraId="000A09E1" w14:textId="77777777" w:rsidR="00924FFC" w:rsidRPr="00B01FA3" w:rsidRDefault="00924FFC" w:rsidP="00E01B24">
            <w:pPr>
              <w:rPr>
                <w:rFonts w:asciiTheme="minorHAnsi" w:hAnsiTheme="minorHAnsi"/>
              </w:rPr>
            </w:pPr>
            <w:r w:rsidRPr="00B01FA3">
              <w:rPr>
                <w:rFonts w:asciiTheme="minorHAnsi" w:hAnsiTheme="minorHAnsi"/>
              </w:rPr>
              <w:t>the denial of a permanent soul or self; one of the three characteristics of existence/experience</w:t>
            </w:r>
          </w:p>
        </w:tc>
      </w:tr>
      <w:tr w:rsidR="00B01FA3" w:rsidRPr="00B01FA3" w14:paraId="6D2F04D2" w14:textId="77777777" w:rsidTr="00B01FA3">
        <w:trPr>
          <w:trHeight w:val="457"/>
        </w:trPr>
        <w:tc>
          <w:tcPr>
            <w:tcW w:w="2405" w:type="dxa"/>
          </w:tcPr>
          <w:p w14:paraId="20F8A4A0" w14:textId="77777777" w:rsidR="00924FFC" w:rsidRPr="00B01FA3" w:rsidRDefault="00924FFC" w:rsidP="00E01B24">
            <w:pPr>
              <w:rPr>
                <w:rFonts w:asciiTheme="minorHAnsi" w:hAnsiTheme="minorHAnsi"/>
              </w:rPr>
            </w:pPr>
            <w:r w:rsidRPr="00B01FA3">
              <w:rPr>
                <w:rFonts w:asciiTheme="minorHAnsi" w:hAnsiTheme="minorHAnsi"/>
              </w:rPr>
              <w:t>impermanent</w:t>
            </w:r>
          </w:p>
        </w:tc>
        <w:tc>
          <w:tcPr>
            <w:tcW w:w="1843" w:type="dxa"/>
          </w:tcPr>
          <w:p w14:paraId="7DD053E1" w14:textId="77777777" w:rsidR="00924FFC" w:rsidRPr="00B01FA3" w:rsidRDefault="00924FFC" w:rsidP="00E01B24">
            <w:pPr>
              <w:rPr>
                <w:rFonts w:asciiTheme="minorHAnsi" w:hAnsiTheme="minorHAnsi"/>
              </w:rPr>
            </w:pPr>
            <w:r w:rsidRPr="00B01FA3">
              <w:rPr>
                <w:rFonts w:asciiTheme="minorHAnsi" w:hAnsiTheme="minorHAnsi"/>
              </w:rPr>
              <w:t>anitya</w:t>
            </w:r>
          </w:p>
        </w:tc>
        <w:tc>
          <w:tcPr>
            <w:tcW w:w="2268" w:type="dxa"/>
          </w:tcPr>
          <w:p w14:paraId="3C2EE310" w14:textId="77777777" w:rsidR="00924FFC" w:rsidRPr="00B01FA3" w:rsidRDefault="00924FFC" w:rsidP="00E01B24">
            <w:pPr>
              <w:rPr>
                <w:rFonts w:asciiTheme="minorHAnsi" w:hAnsiTheme="minorHAnsi"/>
              </w:rPr>
            </w:pPr>
            <w:r w:rsidRPr="00B01FA3">
              <w:rPr>
                <w:rFonts w:asciiTheme="minorHAnsi" w:hAnsiTheme="minorHAnsi"/>
              </w:rPr>
              <w:t>anicca</w:t>
            </w:r>
          </w:p>
        </w:tc>
        <w:tc>
          <w:tcPr>
            <w:tcW w:w="8039" w:type="dxa"/>
          </w:tcPr>
          <w:p w14:paraId="6DC9AE42" w14:textId="5270EE72" w:rsidR="00924FFC" w:rsidRPr="00B01FA3" w:rsidRDefault="00924FFC" w:rsidP="00E01B24">
            <w:pPr>
              <w:rPr>
                <w:rFonts w:asciiTheme="minorHAnsi" w:hAnsiTheme="minorHAnsi"/>
              </w:rPr>
            </w:pPr>
            <w:r w:rsidRPr="00B01FA3">
              <w:rPr>
                <w:rFonts w:asciiTheme="minorHAnsi" w:hAnsiTheme="minorHAnsi"/>
              </w:rPr>
              <w:t>one of the three characteristics of existence/experience, that everything is subject to change and decay</w:t>
            </w:r>
          </w:p>
        </w:tc>
      </w:tr>
      <w:tr w:rsidR="00521FC9" w:rsidRPr="00B01FA3" w14:paraId="157777F2" w14:textId="77777777" w:rsidTr="00B01FA3">
        <w:trPr>
          <w:trHeight w:val="457"/>
        </w:trPr>
        <w:tc>
          <w:tcPr>
            <w:tcW w:w="2405" w:type="dxa"/>
          </w:tcPr>
          <w:p w14:paraId="6410FD4F" w14:textId="50B74DA4" w:rsidR="00521FC9" w:rsidRPr="00B01FA3" w:rsidRDefault="00924FFC" w:rsidP="00041EB3">
            <w:pPr>
              <w:rPr>
                <w:rFonts w:asciiTheme="minorHAnsi" w:hAnsiTheme="minorHAnsi"/>
              </w:rPr>
            </w:pPr>
            <w:r w:rsidRPr="00B01FA3">
              <w:rPr>
                <w:rFonts w:asciiTheme="minorHAnsi" w:hAnsiTheme="minorHAnsi"/>
              </w:rPr>
              <w:lastRenderedPageBreak/>
              <w:t>monk, nun</w:t>
            </w:r>
          </w:p>
        </w:tc>
        <w:tc>
          <w:tcPr>
            <w:tcW w:w="1843" w:type="dxa"/>
          </w:tcPr>
          <w:p w14:paraId="7AD29E2E" w14:textId="0095FBEF" w:rsidR="00521FC9" w:rsidRPr="00B01FA3" w:rsidRDefault="00521FC9" w:rsidP="00041EB3">
            <w:pPr>
              <w:rPr>
                <w:rFonts w:asciiTheme="minorHAnsi" w:hAnsiTheme="minorHAnsi"/>
              </w:rPr>
            </w:pPr>
            <w:r w:rsidRPr="00B01FA3">
              <w:rPr>
                <w:rFonts w:asciiTheme="minorHAnsi" w:hAnsiTheme="minorHAnsi"/>
              </w:rPr>
              <w:t>bhikṣu, bhikṣu</w:t>
            </w:r>
            <w:r w:rsidRPr="00B01FA3">
              <w:rPr>
                <w:rFonts w:ascii="Calibri" w:hAnsi="Calibri" w:cs="Calibri"/>
              </w:rPr>
              <w:t>ṇ</w:t>
            </w:r>
            <w:r w:rsidRPr="00B01FA3">
              <w:rPr>
                <w:rFonts w:asciiTheme="minorHAnsi" w:hAnsiTheme="minorHAnsi"/>
              </w:rPr>
              <w:t>ī</w:t>
            </w:r>
          </w:p>
        </w:tc>
        <w:tc>
          <w:tcPr>
            <w:tcW w:w="2268" w:type="dxa"/>
          </w:tcPr>
          <w:p w14:paraId="7D0B4CC8" w14:textId="465E34EC" w:rsidR="00521FC9" w:rsidRPr="00B01FA3" w:rsidRDefault="00521FC9" w:rsidP="00041EB3">
            <w:pPr>
              <w:rPr>
                <w:rFonts w:asciiTheme="minorHAnsi" w:hAnsiTheme="minorHAnsi"/>
              </w:rPr>
            </w:pPr>
            <w:r w:rsidRPr="00B01FA3">
              <w:rPr>
                <w:rFonts w:asciiTheme="minorHAnsi" w:hAnsiTheme="minorHAnsi"/>
              </w:rPr>
              <w:t>bhikkhu, bhikkhunī</w:t>
            </w:r>
          </w:p>
        </w:tc>
        <w:tc>
          <w:tcPr>
            <w:tcW w:w="8039" w:type="dxa"/>
          </w:tcPr>
          <w:p w14:paraId="358DA173" w14:textId="37CA21DA" w:rsidR="00521FC9" w:rsidRPr="00B01FA3" w:rsidRDefault="00B01FA3" w:rsidP="00041EB3">
            <w:pPr>
              <w:rPr>
                <w:rFonts w:asciiTheme="minorHAnsi" w:hAnsiTheme="minorHAnsi"/>
              </w:rPr>
            </w:pPr>
            <w:r w:rsidRPr="00B01FA3">
              <w:rPr>
                <w:rFonts w:asciiTheme="minorHAnsi" w:hAnsiTheme="minorHAnsi"/>
              </w:rPr>
              <w:t>literally an “almsperson”; there’s little benefit in learning the Sanskrit/Pali terms when “monk” and “nun” are easy translations</w:t>
            </w:r>
          </w:p>
        </w:tc>
      </w:tr>
      <w:tr w:rsidR="00B01FA3" w:rsidRPr="00B01FA3" w14:paraId="1B480CFD" w14:textId="77777777" w:rsidTr="00B01FA3">
        <w:trPr>
          <w:trHeight w:val="457"/>
        </w:trPr>
        <w:tc>
          <w:tcPr>
            <w:tcW w:w="2405" w:type="dxa"/>
          </w:tcPr>
          <w:p w14:paraId="6971C3B5" w14:textId="552C5CF3" w:rsidR="00226365" w:rsidRPr="00B01FA3" w:rsidRDefault="00226365" w:rsidP="00041EB3">
            <w:pPr>
              <w:rPr>
                <w:rFonts w:asciiTheme="minorHAnsi" w:hAnsiTheme="minorHAnsi"/>
              </w:rPr>
            </w:pPr>
            <w:r w:rsidRPr="00B01FA3">
              <w:rPr>
                <w:rFonts w:asciiTheme="minorHAnsi" w:hAnsiTheme="minorHAnsi"/>
              </w:rPr>
              <w:t>bodhisattva</w:t>
            </w:r>
          </w:p>
        </w:tc>
        <w:tc>
          <w:tcPr>
            <w:tcW w:w="1843" w:type="dxa"/>
          </w:tcPr>
          <w:p w14:paraId="4C6DDBD5" w14:textId="7FDB3A58" w:rsidR="00226365" w:rsidRPr="00B01FA3" w:rsidRDefault="00226365" w:rsidP="00041EB3">
            <w:pPr>
              <w:rPr>
                <w:rFonts w:asciiTheme="minorHAnsi" w:hAnsiTheme="minorHAnsi"/>
              </w:rPr>
            </w:pPr>
            <w:r w:rsidRPr="00B01FA3">
              <w:rPr>
                <w:rFonts w:asciiTheme="minorHAnsi" w:hAnsiTheme="minorHAnsi"/>
              </w:rPr>
              <w:t>bodhisattva</w:t>
            </w:r>
          </w:p>
        </w:tc>
        <w:tc>
          <w:tcPr>
            <w:tcW w:w="2268" w:type="dxa"/>
          </w:tcPr>
          <w:p w14:paraId="2D97557E" w14:textId="0FC88B89" w:rsidR="00226365" w:rsidRPr="00B01FA3" w:rsidRDefault="00226365" w:rsidP="00041EB3">
            <w:pPr>
              <w:rPr>
                <w:rFonts w:asciiTheme="minorHAnsi" w:hAnsiTheme="minorHAnsi"/>
              </w:rPr>
            </w:pPr>
            <w:r w:rsidRPr="00B01FA3">
              <w:rPr>
                <w:rFonts w:asciiTheme="minorHAnsi" w:hAnsiTheme="minorHAnsi"/>
              </w:rPr>
              <w:t>bodhisatta</w:t>
            </w:r>
          </w:p>
        </w:tc>
        <w:tc>
          <w:tcPr>
            <w:tcW w:w="8039" w:type="dxa"/>
          </w:tcPr>
          <w:p w14:paraId="21B797D2" w14:textId="46A1665A" w:rsidR="00226365" w:rsidRPr="00B01FA3" w:rsidRDefault="00226365" w:rsidP="00041EB3">
            <w:pPr>
              <w:rPr>
                <w:rFonts w:asciiTheme="minorHAnsi" w:hAnsiTheme="minorHAnsi"/>
              </w:rPr>
            </w:pPr>
            <w:r w:rsidRPr="00B01FA3">
              <w:rPr>
                <w:rFonts w:asciiTheme="minorHAnsi" w:hAnsiTheme="minorHAnsi"/>
              </w:rPr>
              <w:t>a being who is destined to become a Buddha</w:t>
            </w:r>
          </w:p>
        </w:tc>
      </w:tr>
      <w:tr w:rsidR="00BC3A11" w:rsidRPr="00B01FA3" w14:paraId="5DC51115" w14:textId="77777777" w:rsidTr="00B01FA3">
        <w:trPr>
          <w:trHeight w:val="457"/>
        </w:trPr>
        <w:tc>
          <w:tcPr>
            <w:tcW w:w="2405" w:type="dxa"/>
          </w:tcPr>
          <w:p w14:paraId="21AC87DF" w14:textId="01298087" w:rsidR="00BC3A11" w:rsidRPr="00B01FA3" w:rsidRDefault="00BC3A11" w:rsidP="00041EB3">
            <w:pPr>
              <w:rPr>
                <w:rFonts w:asciiTheme="minorHAnsi" w:hAnsiTheme="minorHAnsi"/>
              </w:rPr>
            </w:pPr>
            <w:r w:rsidRPr="00B01FA3">
              <w:rPr>
                <w:rFonts w:asciiTheme="minorHAnsi" w:hAnsiTheme="minorHAnsi"/>
              </w:rPr>
              <w:t>four immeasurables</w:t>
            </w:r>
            <w:r w:rsidR="00B01FA3" w:rsidRPr="00B01FA3">
              <w:rPr>
                <w:rFonts w:asciiTheme="minorHAnsi" w:hAnsiTheme="minorHAnsi"/>
              </w:rPr>
              <w:t xml:space="preserve"> / sublime states</w:t>
            </w:r>
          </w:p>
        </w:tc>
        <w:tc>
          <w:tcPr>
            <w:tcW w:w="1843" w:type="dxa"/>
          </w:tcPr>
          <w:p w14:paraId="72E54702" w14:textId="12B8DD53" w:rsidR="00BC3A11" w:rsidRPr="00B01FA3" w:rsidRDefault="00BC3A11" w:rsidP="00041EB3">
            <w:pPr>
              <w:rPr>
                <w:rFonts w:asciiTheme="minorHAnsi" w:hAnsiTheme="minorHAnsi"/>
              </w:rPr>
            </w:pPr>
            <w:r w:rsidRPr="00B01FA3">
              <w:rPr>
                <w:rFonts w:asciiTheme="minorHAnsi" w:hAnsiTheme="minorHAnsi"/>
              </w:rPr>
              <w:t>brahmavihāra</w:t>
            </w:r>
          </w:p>
        </w:tc>
        <w:tc>
          <w:tcPr>
            <w:tcW w:w="2268" w:type="dxa"/>
          </w:tcPr>
          <w:p w14:paraId="60E20AA1" w14:textId="0A8833A3" w:rsidR="00BC3A11" w:rsidRPr="00B01FA3" w:rsidRDefault="00BC3A11" w:rsidP="00041EB3">
            <w:pPr>
              <w:rPr>
                <w:rFonts w:asciiTheme="minorHAnsi" w:hAnsiTheme="minorHAnsi"/>
              </w:rPr>
            </w:pPr>
            <w:r w:rsidRPr="00B01FA3">
              <w:rPr>
                <w:rFonts w:asciiTheme="minorHAnsi" w:hAnsiTheme="minorHAnsi"/>
              </w:rPr>
              <w:t>brahmavihāra</w:t>
            </w:r>
          </w:p>
        </w:tc>
        <w:tc>
          <w:tcPr>
            <w:tcW w:w="8039" w:type="dxa"/>
          </w:tcPr>
          <w:p w14:paraId="5ABE9E20" w14:textId="0CE97662" w:rsidR="00BC3A11" w:rsidRPr="00B01FA3" w:rsidRDefault="00BC3A11" w:rsidP="00041EB3">
            <w:pPr>
              <w:rPr>
                <w:rFonts w:asciiTheme="minorHAnsi" w:hAnsiTheme="minorHAnsi"/>
              </w:rPr>
            </w:pPr>
            <w:r w:rsidRPr="00B01FA3">
              <w:rPr>
                <w:rFonts w:asciiTheme="minorHAnsi" w:hAnsiTheme="minorHAnsi"/>
              </w:rPr>
              <w:t xml:space="preserve">literally the “abodes of Brahma” but better translated as </w:t>
            </w:r>
            <w:r w:rsidR="002455CC" w:rsidRPr="00B01FA3">
              <w:rPr>
                <w:rFonts w:asciiTheme="minorHAnsi" w:hAnsiTheme="minorHAnsi"/>
              </w:rPr>
              <w:t xml:space="preserve">“sublime states” or </w:t>
            </w:r>
            <w:r w:rsidRPr="00B01FA3">
              <w:rPr>
                <w:rFonts w:asciiTheme="minorHAnsi" w:hAnsiTheme="minorHAnsi"/>
              </w:rPr>
              <w:t>“immeasurables” as this is how they are explained in the texts – states that are to be cultivated to the greatest possible extent: compassion, loving kindness, sympathetic joy and equanimity.</w:t>
            </w:r>
          </w:p>
        </w:tc>
      </w:tr>
      <w:tr w:rsidR="00B01FA3" w:rsidRPr="00B01FA3" w14:paraId="26F9269B" w14:textId="77777777" w:rsidTr="00B01FA3">
        <w:trPr>
          <w:trHeight w:val="457"/>
        </w:trPr>
        <w:tc>
          <w:tcPr>
            <w:tcW w:w="2405" w:type="dxa"/>
          </w:tcPr>
          <w:p w14:paraId="44D58C63" w14:textId="5B537D29" w:rsidR="00226365" w:rsidRPr="00B01FA3" w:rsidRDefault="00226365" w:rsidP="00041EB3">
            <w:pPr>
              <w:rPr>
                <w:rFonts w:asciiTheme="minorHAnsi" w:hAnsiTheme="minorHAnsi"/>
              </w:rPr>
            </w:pPr>
            <w:r w:rsidRPr="00B01FA3">
              <w:rPr>
                <w:rFonts w:asciiTheme="minorHAnsi" w:hAnsiTheme="minorHAnsi"/>
              </w:rPr>
              <w:t>Buddha</w:t>
            </w:r>
          </w:p>
        </w:tc>
        <w:tc>
          <w:tcPr>
            <w:tcW w:w="1843" w:type="dxa"/>
          </w:tcPr>
          <w:p w14:paraId="4F7785E2" w14:textId="688806B6" w:rsidR="00226365" w:rsidRPr="00B01FA3" w:rsidRDefault="00226365" w:rsidP="00041EB3">
            <w:pPr>
              <w:rPr>
                <w:rFonts w:asciiTheme="minorHAnsi" w:hAnsiTheme="minorHAnsi"/>
              </w:rPr>
            </w:pPr>
            <w:r w:rsidRPr="00B01FA3">
              <w:rPr>
                <w:rFonts w:asciiTheme="minorHAnsi" w:hAnsiTheme="minorHAnsi"/>
              </w:rPr>
              <w:t>Buddha</w:t>
            </w:r>
          </w:p>
        </w:tc>
        <w:tc>
          <w:tcPr>
            <w:tcW w:w="2268" w:type="dxa"/>
          </w:tcPr>
          <w:p w14:paraId="375819BA" w14:textId="0FE9188B" w:rsidR="00226365" w:rsidRPr="00B01FA3" w:rsidRDefault="00226365" w:rsidP="00041EB3">
            <w:pPr>
              <w:rPr>
                <w:rFonts w:asciiTheme="minorHAnsi" w:hAnsiTheme="minorHAnsi"/>
              </w:rPr>
            </w:pPr>
            <w:r w:rsidRPr="00B01FA3">
              <w:rPr>
                <w:rFonts w:asciiTheme="minorHAnsi" w:hAnsiTheme="minorHAnsi"/>
              </w:rPr>
              <w:t>Buddha</w:t>
            </w:r>
          </w:p>
        </w:tc>
        <w:tc>
          <w:tcPr>
            <w:tcW w:w="8039" w:type="dxa"/>
          </w:tcPr>
          <w:p w14:paraId="49DFBA41" w14:textId="640F821E" w:rsidR="00226365" w:rsidRPr="00B01FA3" w:rsidRDefault="00226365" w:rsidP="00041EB3">
            <w:pPr>
              <w:rPr>
                <w:rFonts w:asciiTheme="minorHAnsi" w:hAnsiTheme="minorHAnsi"/>
              </w:rPr>
            </w:pPr>
            <w:r w:rsidRPr="00B01FA3">
              <w:rPr>
                <w:rFonts w:asciiTheme="minorHAnsi" w:hAnsiTheme="minorHAnsi"/>
              </w:rPr>
              <w:t xml:space="preserve">an “awakened one”, referring to a being who realises the </w:t>
            </w:r>
            <w:r w:rsidR="00B01FA3" w:rsidRPr="00B01FA3">
              <w:rPr>
                <w:rFonts w:asciiTheme="minorHAnsi" w:hAnsiTheme="minorHAnsi"/>
              </w:rPr>
              <w:t>D</w:t>
            </w:r>
            <w:r w:rsidRPr="00B01FA3">
              <w:rPr>
                <w:rFonts w:asciiTheme="minorHAnsi" w:hAnsiTheme="minorHAnsi"/>
              </w:rPr>
              <w:t>harma themselves and makes it available to others</w:t>
            </w:r>
          </w:p>
        </w:tc>
      </w:tr>
      <w:tr w:rsidR="00D456FF" w:rsidRPr="00B01FA3" w14:paraId="68977D3A" w14:textId="77777777" w:rsidTr="00B01FA3">
        <w:trPr>
          <w:trHeight w:val="457"/>
        </w:trPr>
        <w:tc>
          <w:tcPr>
            <w:tcW w:w="2405" w:type="dxa"/>
          </w:tcPr>
          <w:p w14:paraId="29AB4770" w14:textId="60942AEF" w:rsidR="00D456FF" w:rsidRPr="00B01FA3" w:rsidRDefault="00B01FA3" w:rsidP="00041EB3">
            <w:pPr>
              <w:rPr>
                <w:rFonts w:asciiTheme="minorHAnsi" w:hAnsiTheme="minorHAnsi"/>
              </w:rPr>
            </w:pPr>
            <w:r w:rsidRPr="00B01FA3">
              <w:rPr>
                <w:rFonts w:asciiTheme="minorHAnsi" w:hAnsiTheme="minorHAnsi"/>
              </w:rPr>
              <w:t>Teaching/Truth</w:t>
            </w:r>
          </w:p>
        </w:tc>
        <w:tc>
          <w:tcPr>
            <w:tcW w:w="1843" w:type="dxa"/>
          </w:tcPr>
          <w:p w14:paraId="2AE0522E" w14:textId="0BF266F5" w:rsidR="00D456FF" w:rsidRPr="00B01FA3" w:rsidRDefault="00521FC9" w:rsidP="00041EB3">
            <w:pPr>
              <w:rPr>
                <w:rFonts w:asciiTheme="minorHAnsi" w:hAnsiTheme="minorHAnsi"/>
              </w:rPr>
            </w:pPr>
            <w:r w:rsidRPr="00B01FA3">
              <w:rPr>
                <w:rFonts w:asciiTheme="minorHAnsi" w:hAnsiTheme="minorHAnsi"/>
              </w:rPr>
              <w:t>D</w:t>
            </w:r>
            <w:r w:rsidR="00D456FF" w:rsidRPr="00B01FA3">
              <w:rPr>
                <w:rFonts w:asciiTheme="minorHAnsi" w:hAnsiTheme="minorHAnsi"/>
              </w:rPr>
              <w:t>harma</w:t>
            </w:r>
          </w:p>
        </w:tc>
        <w:tc>
          <w:tcPr>
            <w:tcW w:w="2268" w:type="dxa"/>
          </w:tcPr>
          <w:p w14:paraId="7ABD74EA" w14:textId="43D07F71" w:rsidR="00D456FF" w:rsidRPr="00B01FA3" w:rsidRDefault="00521FC9" w:rsidP="00041EB3">
            <w:pPr>
              <w:rPr>
                <w:rFonts w:asciiTheme="minorHAnsi" w:hAnsiTheme="minorHAnsi"/>
              </w:rPr>
            </w:pPr>
            <w:r w:rsidRPr="00B01FA3">
              <w:rPr>
                <w:rFonts w:asciiTheme="minorHAnsi" w:hAnsiTheme="minorHAnsi"/>
              </w:rPr>
              <w:t>D</w:t>
            </w:r>
            <w:r w:rsidR="00D456FF" w:rsidRPr="00B01FA3">
              <w:rPr>
                <w:rFonts w:asciiTheme="minorHAnsi" w:hAnsiTheme="minorHAnsi"/>
              </w:rPr>
              <w:t>hamma</w:t>
            </w:r>
          </w:p>
        </w:tc>
        <w:tc>
          <w:tcPr>
            <w:tcW w:w="8039" w:type="dxa"/>
          </w:tcPr>
          <w:p w14:paraId="513B3CC7" w14:textId="0D2313DC" w:rsidR="00D456FF" w:rsidRPr="00B01FA3" w:rsidRDefault="00D456FF" w:rsidP="00041EB3">
            <w:pPr>
              <w:rPr>
                <w:rFonts w:asciiTheme="minorHAnsi" w:hAnsiTheme="minorHAnsi"/>
              </w:rPr>
            </w:pPr>
            <w:r w:rsidRPr="00B01FA3">
              <w:rPr>
                <w:rFonts w:asciiTheme="minorHAnsi" w:hAnsiTheme="minorHAnsi"/>
              </w:rPr>
              <w:t xml:space="preserve">the </w:t>
            </w:r>
            <w:r w:rsidR="00521FC9" w:rsidRPr="00B01FA3">
              <w:rPr>
                <w:rFonts w:asciiTheme="minorHAnsi" w:hAnsiTheme="minorHAnsi"/>
              </w:rPr>
              <w:t>underlying t</w:t>
            </w:r>
            <w:r w:rsidRPr="00B01FA3">
              <w:rPr>
                <w:rFonts w:asciiTheme="minorHAnsi" w:hAnsiTheme="minorHAnsi"/>
              </w:rPr>
              <w:t xml:space="preserve">ruth </w:t>
            </w:r>
            <w:r w:rsidR="00521FC9" w:rsidRPr="00B01FA3">
              <w:rPr>
                <w:rFonts w:asciiTheme="minorHAnsi" w:hAnsiTheme="minorHAnsi"/>
              </w:rPr>
              <w:t xml:space="preserve">or law of </w:t>
            </w:r>
            <w:r w:rsidR="00FB128A" w:rsidRPr="00B01FA3">
              <w:rPr>
                <w:rFonts w:asciiTheme="minorHAnsi" w:hAnsiTheme="minorHAnsi"/>
              </w:rPr>
              <w:t>reality</w:t>
            </w:r>
            <w:r w:rsidR="00521FC9" w:rsidRPr="00B01FA3">
              <w:rPr>
                <w:rFonts w:asciiTheme="minorHAnsi" w:hAnsiTheme="minorHAnsi"/>
              </w:rPr>
              <w:t xml:space="preserve">, </w:t>
            </w:r>
            <w:r w:rsidRPr="00B01FA3">
              <w:rPr>
                <w:rFonts w:asciiTheme="minorHAnsi" w:hAnsiTheme="minorHAnsi"/>
              </w:rPr>
              <w:t>and the teachings of a Buddha, which encapsulate this truth</w:t>
            </w:r>
          </w:p>
        </w:tc>
      </w:tr>
      <w:tr w:rsidR="00B01FA3" w:rsidRPr="00B01FA3" w14:paraId="2E69A84E" w14:textId="77777777" w:rsidTr="00B01FA3">
        <w:trPr>
          <w:trHeight w:val="457"/>
        </w:trPr>
        <w:tc>
          <w:tcPr>
            <w:tcW w:w="2405" w:type="dxa"/>
          </w:tcPr>
          <w:p w14:paraId="2F79F320" w14:textId="2C564E6E" w:rsidR="00D456FF" w:rsidRPr="00B01FA3" w:rsidRDefault="00924FFC" w:rsidP="00924FFC">
            <w:pPr>
              <w:rPr>
                <w:rFonts w:asciiTheme="minorHAnsi" w:hAnsiTheme="minorHAnsi"/>
              </w:rPr>
            </w:pPr>
            <w:r w:rsidRPr="00B01FA3">
              <w:rPr>
                <w:rFonts w:asciiTheme="minorHAnsi" w:hAnsiTheme="minorHAnsi"/>
              </w:rPr>
              <w:t>suffering</w:t>
            </w:r>
          </w:p>
        </w:tc>
        <w:tc>
          <w:tcPr>
            <w:tcW w:w="1843" w:type="dxa"/>
          </w:tcPr>
          <w:p w14:paraId="7470DD2D" w14:textId="358A1E3C" w:rsidR="00D456FF" w:rsidRPr="00B01FA3" w:rsidRDefault="00521FC9" w:rsidP="00041EB3">
            <w:pPr>
              <w:rPr>
                <w:rFonts w:asciiTheme="minorHAnsi" w:hAnsiTheme="minorHAnsi"/>
              </w:rPr>
            </w:pPr>
            <w:r w:rsidRPr="00B01FA3">
              <w:rPr>
                <w:rFonts w:asciiTheme="minorHAnsi" w:hAnsiTheme="minorHAnsi"/>
              </w:rPr>
              <w:t>du</w:t>
            </w:r>
            <w:r w:rsidRPr="00B01FA3">
              <w:rPr>
                <w:rFonts w:ascii="Calibri" w:hAnsi="Calibri" w:cs="Calibri"/>
              </w:rPr>
              <w:t>ḥ</w:t>
            </w:r>
            <w:r w:rsidRPr="00B01FA3">
              <w:rPr>
                <w:rFonts w:asciiTheme="minorHAnsi" w:hAnsiTheme="minorHAnsi"/>
              </w:rPr>
              <w:t>kha</w:t>
            </w:r>
          </w:p>
        </w:tc>
        <w:tc>
          <w:tcPr>
            <w:tcW w:w="2268" w:type="dxa"/>
          </w:tcPr>
          <w:p w14:paraId="28E1FD49" w14:textId="4A9233BB" w:rsidR="00D456FF" w:rsidRPr="00B01FA3" w:rsidRDefault="00D456FF" w:rsidP="00041EB3">
            <w:pPr>
              <w:rPr>
                <w:rFonts w:asciiTheme="minorHAnsi" w:hAnsiTheme="minorHAnsi"/>
              </w:rPr>
            </w:pPr>
            <w:r w:rsidRPr="00B01FA3">
              <w:rPr>
                <w:rFonts w:asciiTheme="minorHAnsi" w:hAnsiTheme="minorHAnsi"/>
              </w:rPr>
              <w:t>dukkha</w:t>
            </w:r>
          </w:p>
        </w:tc>
        <w:tc>
          <w:tcPr>
            <w:tcW w:w="8039" w:type="dxa"/>
          </w:tcPr>
          <w:p w14:paraId="00BEAFC4" w14:textId="611E3A84" w:rsidR="00D456FF" w:rsidRPr="00B01FA3" w:rsidRDefault="00924FFC" w:rsidP="00041EB3">
            <w:pPr>
              <w:rPr>
                <w:rFonts w:asciiTheme="minorHAnsi" w:hAnsiTheme="minorHAnsi"/>
              </w:rPr>
            </w:pPr>
            <w:r w:rsidRPr="00B01FA3">
              <w:rPr>
                <w:rFonts w:asciiTheme="minorHAnsi" w:hAnsiTheme="minorHAnsi"/>
              </w:rPr>
              <w:t xml:space="preserve">sometimes better rendered </w:t>
            </w:r>
            <w:r w:rsidR="00521FC9" w:rsidRPr="00B01FA3">
              <w:rPr>
                <w:rFonts w:asciiTheme="minorHAnsi" w:hAnsiTheme="minorHAnsi"/>
              </w:rPr>
              <w:t>“unsatisfactory”</w:t>
            </w:r>
            <w:r w:rsidRPr="00B01FA3">
              <w:rPr>
                <w:rFonts w:asciiTheme="minorHAnsi" w:hAnsiTheme="minorHAnsi"/>
              </w:rPr>
              <w:t xml:space="preserve">; </w:t>
            </w:r>
            <w:r w:rsidR="00521FC9" w:rsidRPr="00B01FA3">
              <w:rPr>
                <w:rFonts w:asciiTheme="minorHAnsi" w:hAnsiTheme="minorHAnsi"/>
              </w:rPr>
              <w:t>one of the three characteristics of experience, and the first of the four noble truths</w:t>
            </w:r>
          </w:p>
        </w:tc>
      </w:tr>
      <w:tr w:rsidR="00D456FF" w:rsidRPr="00B01FA3" w14:paraId="70938069" w14:textId="77777777" w:rsidTr="00B01FA3">
        <w:trPr>
          <w:trHeight w:val="457"/>
        </w:trPr>
        <w:tc>
          <w:tcPr>
            <w:tcW w:w="2405" w:type="dxa"/>
          </w:tcPr>
          <w:p w14:paraId="7F83B302" w14:textId="4DF46AD3" w:rsidR="00D456FF" w:rsidRPr="00B01FA3" w:rsidRDefault="00D456FF" w:rsidP="00041EB3">
            <w:pPr>
              <w:rPr>
                <w:rFonts w:asciiTheme="minorHAnsi" w:hAnsiTheme="minorHAnsi"/>
              </w:rPr>
            </w:pPr>
          </w:p>
        </w:tc>
        <w:tc>
          <w:tcPr>
            <w:tcW w:w="1843" w:type="dxa"/>
          </w:tcPr>
          <w:p w14:paraId="7A774145" w14:textId="3EC5EAE8" w:rsidR="00D456FF" w:rsidRPr="00B01FA3" w:rsidRDefault="00D456FF" w:rsidP="00041EB3">
            <w:pPr>
              <w:rPr>
                <w:rFonts w:asciiTheme="minorHAnsi" w:hAnsiTheme="minorHAnsi"/>
              </w:rPr>
            </w:pPr>
            <w:r w:rsidRPr="00B01FA3">
              <w:rPr>
                <w:rFonts w:asciiTheme="minorHAnsi" w:hAnsiTheme="minorHAnsi"/>
              </w:rPr>
              <w:t>Gautama</w:t>
            </w:r>
          </w:p>
        </w:tc>
        <w:tc>
          <w:tcPr>
            <w:tcW w:w="2268" w:type="dxa"/>
          </w:tcPr>
          <w:p w14:paraId="4C0FE37C" w14:textId="47A55865" w:rsidR="00D456FF" w:rsidRPr="00B01FA3" w:rsidRDefault="00D456FF" w:rsidP="00041EB3">
            <w:pPr>
              <w:rPr>
                <w:rFonts w:asciiTheme="minorHAnsi" w:hAnsiTheme="minorHAnsi"/>
              </w:rPr>
            </w:pPr>
            <w:r w:rsidRPr="00B01FA3">
              <w:rPr>
                <w:rFonts w:asciiTheme="minorHAnsi" w:hAnsiTheme="minorHAnsi"/>
              </w:rPr>
              <w:t>Gotama</w:t>
            </w:r>
          </w:p>
        </w:tc>
        <w:tc>
          <w:tcPr>
            <w:tcW w:w="8039" w:type="dxa"/>
          </w:tcPr>
          <w:p w14:paraId="1896E9C9" w14:textId="34A5D899" w:rsidR="00D456FF" w:rsidRPr="00B01FA3" w:rsidRDefault="00D456FF" w:rsidP="00041EB3">
            <w:pPr>
              <w:rPr>
                <w:rFonts w:asciiTheme="minorHAnsi" w:hAnsiTheme="minorHAnsi"/>
              </w:rPr>
            </w:pPr>
            <w:r w:rsidRPr="00B01FA3">
              <w:rPr>
                <w:rFonts w:asciiTheme="minorHAnsi" w:hAnsiTheme="minorHAnsi"/>
              </w:rPr>
              <w:t>clan name of the Buddha, more commonly found in Pali texts</w:t>
            </w:r>
          </w:p>
        </w:tc>
      </w:tr>
      <w:tr w:rsidR="00B01FA3" w:rsidRPr="00B01FA3" w14:paraId="4A0A78D3" w14:textId="3E34B926" w:rsidTr="00B01FA3">
        <w:trPr>
          <w:trHeight w:val="457"/>
        </w:trPr>
        <w:tc>
          <w:tcPr>
            <w:tcW w:w="2405" w:type="dxa"/>
          </w:tcPr>
          <w:p w14:paraId="5871E998" w14:textId="77777777" w:rsidR="00226365" w:rsidRPr="00B01FA3" w:rsidRDefault="00226365" w:rsidP="00041EB3">
            <w:pPr>
              <w:rPr>
                <w:rFonts w:asciiTheme="minorHAnsi" w:hAnsiTheme="minorHAnsi"/>
              </w:rPr>
            </w:pPr>
            <w:r w:rsidRPr="00B01FA3">
              <w:rPr>
                <w:rFonts w:asciiTheme="minorHAnsi" w:hAnsiTheme="minorHAnsi"/>
              </w:rPr>
              <w:t>karma</w:t>
            </w:r>
          </w:p>
        </w:tc>
        <w:tc>
          <w:tcPr>
            <w:tcW w:w="1843" w:type="dxa"/>
          </w:tcPr>
          <w:p w14:paraId="251B5472" w14:textId="77777777" w:rsidR="00226365" w:rsidRPr="00B01FA3" w:rsidRDefault="00226365" w:rsidP="00041EB3">
            <w:pPr>
              <w:rPr>
                <w:rFonts w:asciiTheme="minorHAnsi" w:hAnsiTheme="minorHAnsi"/>
              </w:rPr>
            </w:pPr>
            <w:r w:rsidRPr="00B01FA3">
              <w:rPr>
                <w:rFonts w:asciiTheme="minorHAnsi" w:hAnsiTheme="minorHAnsi"/>
              </w:rPr>
              <w:t>karman</w:t>
            </w:r>
          </w:p>
        </w:tc>
        <w:tc>
          <w:tcPr>
            <w:tcW w:w="2268" w:type="dxa"/>
          </w:tcPr>
          <w:p w14:paraId="2483664B" w14:textId="77777777" w:rsidR="00226365" w:rsidRPr="00B01FA3" w:rsidRDefault="00226365" w:rsidP="00041EB3">
            <w:pPr>
              <w:rPr>
                <w:rFonts w:asciiTheme="minorHAnsi" w:hAnsiTheme="minorHAnsi"/>
              </w:rPr>
            </w:pPr>
            <w:r w:rsidRPr="00B01FA3">
              <w:rPr>
                <w:rFonts w:asciiTheme="minorHAnsi" w:hAnsiTheme="minorHAnsi"/>
              </w:rPr>
              <w:t>kamma</w:t>
            </w:r>
          </w:p>
        </w:tc>
        <w:tc>
          <w:tcPr>
            <w:tcW w:w="8039" w:type="dxa"/>
          </w:tcPr>
          <w:p w14:paraId="07AFBFC0" w14:textId="42F3A593" w:rsidR="00226365" w:rsidRPr="00B01FA3" w:rsidRDefault="00226365" w:rsidP="00041EB3">
            <w:pPr>
              <w:rPr>
                <w:rFonts w:asciiTheme="minorHAnsi" w:hAnsiTheme="minorHAnsi"/>
              </w:rPr>
            </w:pPr>
            <w:r w:rsidRPr="00B01FA3">
              <w:rPr>
                <w:rFonts w:asciiTheme="minorHAnsi" w:hAnsiTheme="minorHAnsi"/>
              </w:rPr>
              <w:t>literally “action”, referring to the idea that actions have results for the doer, in this or a subsequent lifetime</w:t>
            </w:r>
          </w:p>
        </w:tc>
      </w:tr>
      <w:tr w:rsidR="00B01FA3" w:rsidRPr="00B01FA3" w14:paraId="7EE4C2EA" w14:textId="77777777" w:rsidTr="00B01FA3">
        <w:trPr>
          <w:trHeight w:val="457"/>
        </w:trPr>
        <w:tc>
          <w:tcPr>
            <w:tcW w:w="2405" w:type="dxa"/>
          </w:tcPr>
          <w:p w14:paraId="3CCA2830" w14:textId="108DAAE6" w:rsidR="000F314D" w:rsidRPr="00B01FA3" w:rsidRDefault="000F314D" w:rsidP="00041EB3">
            <w:pPr>
              <w:rPr>
                <w:rFonts w:asciiTheme="minorHAnsi" w:hAnsiTheme="minorHAnsi"/>
              </w:rPr>
            </w:pPr>
            <w:r w:rsidRPr="00B01FA3">
              <w:rPr>
                <w:rFonts w:asciiTheme="minorHAnsi" w:hAnsiTheme="minorHAnsi"/>
              </w:rPr>
              <w:t>compassion</w:t>
            </w:r>
          </w:p>
        </w:tc>
        <w:tc>
          <w:tcPr>
            <w:tcW w:w="1843" w:type="dxa"/>
          </w:tcPr>
          <w:p w14:paraId="32748125" w14:textId="41A2F2D0" w:rsidR="000F314D" w:rsidRPr="00B01FA3" w:rsidRDefault="000F314D" w:rsidP="00041EB3">
            <w:pPr>
              <w:rPr>
                <w:rFonts w:asciiTheme="minorHAnsi" w:hAnsiTheme="minorHAnsi"/>
              </w:rPr>
            </w:pPr>
            <w:r w:rsidRPr="00B01FA3">
              <w:rPr>
                <w:rFonts w:asciiTheme="minorHAnsi" w:hAnsiTheme="minorHAnsi"/>
              </w:rPr>
              <w:t>karu</w:t>
            </w:r>
            <w:r w:rsidRPr="00B01FA3">
              <w:rPr>
                <w:rFonts w:ascii="Calibri" w:hAnsi="Calibri" w:cs="Calibri"/>
              </w:rPr>
              <w:t>ṇ</w:t>
            </w:r>
            <w:r w:rsidRPr="00B01FA3">
              <w:rPr>
                <w:rFonts w:asciiTheme="minorHAnsi" w:hAnsiTheme="minorHAnsi"/>
              </w:rPr>
              <w:t>ā</w:t>
            </w:r>
          </w:p>
        </w:tc>
        <w:tc>
          <w:tcPr>
            <w:tcW w:w="2268" w:type="dxa"/>
          </w:tcPr>
          <w:p w14:paraId="3A8B3BC3" w14:textId="54C526B9" w:rsidR="000F314D" w:rsidRPr="00B01FA3" w:rsidRDefault="000F314D" w:rsidP="00041EB3">
            <w:pPr>
              <w:rPr>
                <w:rFonts w:asciiTheme="minorHAnsi" w:hAnsiTheme="minorHAnsi"/>
              </w:rPr>
            </w:pPr>
            <w:r w:rsidRPr="00B01FA3">
              <w:rPr>
                <w:rFonts w:asciiTheme="minorHAnsi" w:hAnsiTheme="minorHAnsi"/>
              </w:rPr>
              <w:t>karu</w:t>
            </w:r>
            <w:r w:rsidRPr="00B01FA3">
              <w:rPr>
                <w:rFonts w:ascii="Calibri" w:hAnsi="Calibri" w:cs="Calibri"/>
              </w:rPr>
              <w:t>ṇ</w:t>
            </w:r>
            <w:r w:rsidRPr="00B01FA3">
              <w:rPr>
                <w:rFonts w:asciiTheme="minorHAnsi" w:hAnsiTheme="minorHAnsi"/>
              </w:rPr>
              <w:t>ā</w:t>
            </w:r>
          </w:p>
        </w:tc>
        <w:tc>
          <w:tcPr>
            <w:tcW w:w="8039" w:type="dxa"/>
          </w:tcPr>
          <w:p w14:paraId="0A808115" w14:textId="15F29DCA" w:rsidR="000F314D" w:rsidRPr="00B01FA3" w:rsidRDefault="00663438" w:rsidP="00041EB3">
            <w:pPr>
              <w:rPr>
                <w:rFonts w:asciiTheme="minorHAnsi" w:hAnsiTheme="minorHAnsi"/>
              </w:rPr>
            </w:pPr>
            <w:r w:rsidRPr="00B01FA3">
              <w:rPr>
                <w:rFonts w:asciiTheme="minorHAnsi" w:hAnsiTheme="minorHAnsi"/>
              </w:rPr>
              <w:t>one of the four immeasurables</w:t>
            </w:r>
            <w:r w:rsidRPr="00B01FA3">
              <w:rPr>
                <w:rFonts w:asciiTheme="minorHAnsi" w:hAnsiTheme="minorHAnsi"/>
              </w:rPr>
              <w:t xml:space="preserve">, hence </w:t>
            </w:r>
            <w:r w:rsidR="000F314D" w:rsidRPr="00B01FA3">
              <w:rPr>
                <w:rFonts w:asciiTheme="minorHAnsi" w:hAnsiTheme="minorHAnsi"/>
              </w:rPr>
              <w:t>a virtue valued in all forms of Buddhism</w:t>
            </w:r>
            <w:r w:rsidRPr="00B01FA3">
              <w:rPr>
                <w:rFonts w:asciiTheme="minorHAnsi" w:hAnsiTheme="minorHAnsi"/>
              </w:rPr>
              <w:t>;</w:t>
            </w:r>
            <w:r w:rsidR="000F314D" w:rsidRPr="00B01FA3">
              <w:rPr>
                <w:rFonts w:asciiTheme="minorHAnsi" w:hAnsiTheme="minorHAnsi"/>
              </w:rPr>
              <w:t xml:space="preserve"> but </w:t>
            </w:r>
            <w:proofErr w:type="gramStart"/>
            <w:r w:rsidRPr="00B01FA3">
              <w:rPr>
                <w:rFonts w:asciiTheme="minorHAnsi" w:hAnsiTheme="minorHAnsi"/>
              </w:rPr>
              <w:t>also</w:t>
            </w:r>
            <w:proofErr w:type="gramEnd"/>
            <w:r w:rsidRPr="00B01FA3">
              <w:rPr>
                <w:rFonts w:asciiTheme="minorHAnsi" w:hAnsiTheme="minorHAnsi"/>
              </w:rPr>
              <w:t xml:space="preserve"> a quality </w:t>
            </w:r>
            <w:r w:rsidR="000F314D" w:rsidRPr="00B01FA3">
              <w:rPr>
                <w:rFonts w:asciiTheme="minorHAnsi" w:hAnsiTheme="minorHAnsi"/>
              </w:rPr>
              <w:t xml:space="preserve">particularly associated with the requirements of the Bodhisattva path in Mahāyāna Buddhism </w:t>
            </w:r>
          </w:p>
        </w:tc>
      </w:tr>
      <w:tr w:rsidR="00D456FF" w:rsidRPr="00B01FA3" w14:paraId="6D1FEE2C" w14:textId="77777777" w:rsidTr="00B01FA3">
        <w:trPr>
          <w:trHeight w:val="438"/>
        </w:trPr>
        <w:tc>
          <w:tcPr>
            <w:tcW w:w="2405" w:type="dxa"/>
          </w:tcPr>
          <w:p w14:paraId="1CC97554" w14:textId="7323AFB7" w:rsidR="00D456FF" w:rsidRPr="00B01FA3" w:rsidRDefault="00D456FF" w:rsidP="00041EB3">
            <w:pPr>
              <w:rPr>
                <w:rFonts w:asciiTheme="minorHAnsi" w:hAnsiTheme="minorHAnsi"/>
              </w:rPr>
            </w:pPr>
            <w:r w:rsidRPr="00B01FA3">
              <w:rPr>
                <w:rFonts w:asciiTheme="minorHAnsi" w:hAnsiTheme="minorHAnsi"/>
              </w:rPr>
              <w:t>Mahayana</w:t>
            </w:r>
          </w:p>
        </w:tc>
        <w:tc>
          <w:tcPr>
            <w:tcW w:w="1843" w:type="dxa"/>
          </w:tcPr>
          <w:p w14:paraId="77A6C96A" w14:textId="5FE18A61" w:rsidR="00D456FF" w:rsidRPr="00B01FA3" w:rsidRDefault="00D456FF" w:rsidP="00041EB3">
            <w:pPr>
              <w:rPr>
                <w:rFonts w:asciiTheme="minorHAnsi" w:hAnsiTheme="minorHAnsi"/>
              </w:rPr>
            </w:pPr>
            <w:r w:rsidRPr="00B01FA3">
              <w:rPr>
                <w:rFonts w:asciiTheme="minorHAnsi" w:hAnsiTheme="minorHAnsi"/>
              </w:rPr>
              <w:t>Mahāyāna</w:t>
            </w:r>
          </w:p>
        </w:tc>
        <w:tc>
          <w:tcPr>
            <w:tcW w:w="2268" w:type="dxa"/>
          </w:tcPr>
          <w:p w14:paraId="5489E6A9" w14:textId="5E4D8995" w:rsidR="00D456FF" w:rsidRPr="00B01FA3" w:rsidRDefault="00D456FF" w:rsidP="00041EB3">
            <w:pPr>
              <w:rPr>
                <w:rFonts w:asciiTheme="minorHAnsi" w:hAnsiTheme="minorHAnsi"/>
              </w:rPr>
            </w:pPr>
            <w:r w:rsidRPr="00B01FA3">
              <w:rPr>
                <w:rFonts w:asciiTheme="minorHAnsi" w:hAnsiTheme="minorHAnsi"/>
              </w:rPr>
              <w:t>Mahāyāna</w:t>
            </w:r>
          </w:p>
        </w:tc>
        <w:tc>
          <w:tcPr>
            <w:tcW w:w="8039" w:type="dxa"/>
          </w:tcPr>
          <w:p w14:paraId="4962C4AD" w14:textId="703FE0E9" w:rsidR="00D456FF" w:rsidRPr="00B01FA3" w:rsidRDefault="00D456FF" w:rsidP="00041EB3">
            <w:pPr>
              <w:rPr>
                <w:rFonts w:asciiTheme="minorHAnsi" w:hAnsiTheme="minorHAnsi"/>
              </w:rPr>
            </w:pPr>
            <w:r w:rsidRPr="00B01FA3">
              <w:rPr>
                <w:rFonts w:asciiTheme="minorHAnsi" w:hAnsiTheme="minorHAnsi"/>
              </w:rPr>
              <w:t>“</w:t>
            </w:r>
            <w:proofErr w:type="gramStart"/>
            <w:r w:rsidRPr="00B01FA3">
              <w:rPr>
                <w:rFonts w:asciiTheme="minorHAnsi" w:hAnsiTheme="minorHAnsi"/>
              </w:rPr>
              <w:t>great</w:t>
            </w:r>
            <w:proofErr w:type="gramEnd"/>
            <w:r w:rsidRPr="00B01FA3">
              <w:rPr>
                <w:rFonts w:asciiTheme="minorHAnsi" w:hAnsiTheme="minorHAnsi"/>
              </w:rPr>
              <w:t xml:space="preserve"> vehicle”: the type of Buddhism prevalent in Tibet and East Asia</w:t>
            </w:r>
          </w:p>
        </w:tc>
      </w:tr>
      <w:tr w:rsidR="00B01FA3" w:rsidRPr="00B01FA3" w14:paraId="41BC45A5" w14:textId="77777777" w:rsidTr="00B01FA3">
        <w:trPr>
          <w:trHeight w:val="438"/>
        </w:trPr>
        <w:tc>
          <w:tcPr>
            <w:tcW w:w="2405" w:type="dxa"/>
          </w:tcPr>
          <w:p w14:paraId="623BE3E0" w14:textId="77777777" w:rsidR="00924FFC" w:rsidRPr="00B01FA3" w:rsidRDefault="00924FFC" w:rsidP="00E01B24">
            <w:pPr>
              <w:rPr>
                <w:rFonts w:asciiTheme="minorHAnsi" w:hAnsiTheme="minorHAnsi"/>
              </w:rPr>
            </w:pPr>
            <w:r w:rsidRPr="00B01FA3">
              <w:rPr>
                <w:rFonts w:asciiTheme="minorHAnsi" w:hAnsiTheme="minorHAnsi"/>
              </w:rPr>
              <w:t>loving kindness</w:t>
            </w:r>
          </w:p>
        </w:tc>
        <w:tc>
          <w:tcPr>
            <w:tcW w:w="1843" w:type="dxa"/>
          </w:tcPr>
          <w:p w14:paraId="2EA1FC71" w14:textId="77777777" w:rsidR="00924FFC" w:rsidRPr="00B01FA3" w:rsidRDefault="00924FFC" w:rsidP="00E01B24">
            <w:pPr>
              <w:rPr>
                <w:rFonts w:asciiTheme="minorHAnsi" w:hAnsiTheme="minorHAnsi"/>
              </w:rPr>
            </w:pPr>
            <w:r w:rsidRPr="00B01FA3">
              <w:rPr>
                <w:rFonts w:asciiTheme="minorHAnsi" w:hAnsiTheme="minorHAnsi"/>
              </w:rPr>
              <w:t>maitrī</w:t>
            </w:r>
          </w:p>
        </w:tc>
        <w:tc>
          <w:tcPr>
            <w:tcW w:w="2268" w:type="dxa"/>
          </w:tcPr>
          <w:p w14:paraId="175E3C64" w14:textId="77777777" w:rsidR="00924FFC" w:rsidRPr="00B01FA3" w:rsidRDefault="00924FFC" w:rsidP="00E01B24">
            <w:pPr>
              <w:rPr>
                <w:rFonts w:asciiTheme="minorHAnsi" w:hAnsiTheme="minorHAnsi"/>
              </w:rPr>
            </w:pPr>
            <w:r w:rsidRPr="00B01FA3">
              <w:rPr>
                <w:rFonts w:asciiTheme="minorHAnsi" w:hAnsiTheme="minorHAnsi"/>
              </w:rPr>
              <w:t>mettā</w:t>
            </w:r>
          </w:p>
        </w:tc>
        <w:tc>
          <w:tcPr>
            <w:tcW w:w="8039" w:type="dxa"/>
          </w:tcPr>
          <w:p w14:paraId="153F8ACB" w14:textId="77777777" w:rsidR="00924FFC" w:rsidRPr="00B01FA3" w:rsidRDefault="00924FFC" w:rsidP="00E01B24">
            <w:pPr>
              <w:rPr>
                <w:rFonts w:asciiTheme="minorHAnsi" w:hAnsiTheme="minorHAnsi"/>
              </w:rPr>
            </w:pPr>
            <w:r w:rsidRPr="00B01FA3">
              <w:rPr>
                <w:rFonts w:asciiTheme="minorHAnsi" w:hAnsiTheme="minorHAnsi"/>
              </w:rPr>
              <w:t>a type of well-wishing that is meant to be extended to all beings; one of the four immeasurable states</w:t>
            </w:r>
          </w:p>
        </w:tc>
      </w:tr>
      <w:tr w:rsidR="002455CC" w:rsidRPr="00B01FA3" w14:paraId="04D88E5F" w14:textId="77777777" w:rsidTr="00B01FA3">
        <w:trPr>
          <w:trHeight w:val="438"/>
        </w:trPr>
        <w:tc>
          <w:tcPr>
            <w:tcW w:w="2405" w:type="dxa"/>
          </w:tcPr>
          <w:p w14:paraId="6B73DB2A" w14:textId="77777777" w:rsidR="002455CC" w:rsidRPr="00B01FA3" w:rsidRDefault="002455CC" w:rsidP="00E01B24">
            <w:pPr>
              <w:rPr>
                <w:rFonts w:asciiTheme="minorHAnsi" w:hAnsiTheme="minorHAnsi"/>
              </w:rPr>
            </w:pPr>
          </w:p>
        </w:tc>
        <w:tc>
          <w:tcPr>
            <w:tcW w:w="1843" w:type="dxa"/>
          </w:tcPr>
          <w:p w14:paraId="56ABBE96" w14:textId="14FCF111" w:rsidR="002455CC" w:rsidRPr="00B01FA3" w:rsidRDefault="002455CC" w:rsidP="00E01B24">
            <w:pPr>
              <w:rPr>
                <w:rFonts w:asciiTheme="minorHAnsi" w:hAnsiTheme="minorHAnsi"/>
              </w:rPr>
            </w:pPr>
            <w:r w:rsidRPr="00B01FA3">
              <w:rPr>
                <w:rFonts w:asciiTheme="minorHAnsi" w:hAnsiTheme="minorHAnsi"/>
              </w:rPr>
              <w:t>mārga</w:t>
            </w:r>
          </w:p>
        </w:tc>
        <w:tc>
          <w:tcPr>
            <w:tcW w:w="2268" w:type="dxa"/>
          </w:tcPr>
          <w:p w14:paraId="15BB62BA" w14:textId="0402F1C4" w:rsidR="002455CC" w:rsidRPr="00B01FA3" w:rsidRDefault="002455CC" w:rsidP="00E01B24">
            <w:pPr>
              <w:rPr>
                <w:rFonts w:asciiTheme="minorHAnsi" w:hAnsiTheme="minorHAnsi"/>
              </w:rPr>
            </w:pPr>
            <w:r w:rsidRPr="00B01FA3">
              <w:rPr>
                <w:rFonts w:asciiTheme="minorHAnsi" w:hAnsiTheme="minorHAnsi"/>
              </w:rPr>
              <w:t>magga</w:t>
            </w:r>
          </w:p>
        </w:tc>
        <w:tc>
          <w:tcPr>
            <w:tcW w:w="8039" w:type="dxa"/>
          </w:tcPr>
          <w:p w14:paraId="50C73211" w14:textId="6E715C17" w:rsidR="002455CC" w:rsidRPr="00B01FA3" w:rsidRDefault="002455CC" w:rsidP="00E01B24">
            <w:pPr>
              <w:rPr>
                <w:rFonts w:asciiTheme="minorHAnsi" w:hAnsiTheme="minorHAnsi"/>
              </w:rPr>
            </w:pPr>
            <w:r w:rsidRPr="00B01FA3">
              <w:rPr>
                <w:rFonts w:asciiTheme="minorHAnsi" w:hAnsiTheme="minorHAnsi"/>
              </w:rPr>
              <w:t>any “path” or “road” but often referring to the eightfold path to liberation taught by the Buddha</w:t>
            </w:r>
          </w:p>
        </w:tc>
      </w:tr>
      <w:tr w:rsidR="00B01FA3" w:rsidRPr="00B01FA3" w14:paraId="757D3CE4" w14:textId="77777777" w:rsidTr="00B01FA3">
        <w:trPr>
          <w:trHeight w:val="438"/>
        </w:trPr>
        <w:tc>
          <w:tcPr>
            <w:tcW w:w="2405" w:type="dxa"/>
          </w:tcPr>
          <w:p w14:paraId="3E33C5DF" w14:textId="42159199" w:rsidR="00ED2830" w:rsidRPr="00B01FA3" w:rsidRDefault="00ED2830" w:rsidP="00041EB3">
            <w:pPr>
              <w:rPr>
                <w:rFonts w:asciiTheme="minorHAnsi" w:hAnsiTheme="minorHAnsi"/>
              </w:rPr>
            </w:pPr>
            <w:r w:rsidRPr="00B01FA3">
              <w:rPr>
                <w:rFonts w:asciiTheme="minorHAnsi" w:hAnsiTheme="minorHAnsi"/>
              </w:rPr>
              <w:t>sympathetic joy</w:t>
            </w:r>
          </w:p>
        </w:tc>
        <w:tc>
          <w:tcPr>
            <w:tcW w:w="1843" w:type="dxa"/>
          </w:tcPr>
          <w:p w14:paraId="633AD16E" w14:textId="4794E3DA" w:rsidR="00ED2830" w:rsidRPr="00B01FA3" w:rsidRDefault="00ED2830" w:rsidP="00041EB3">
            <w:pPr>
              <w:rPr>
                <w:rFonts w:asciiTheme="minorHAnsi" w:hAnsiTheme="minorHAnsi"/>
              </w:rPr>
            </w:pPr>
            <w:r w:rsidRPr="00B01FA3">
              <w:rPr>
                <w:rFonts w:asciiTheme="minorHAnsi" w:hAnsiTheme="minorHAnsi"/>
              </w:rPr>
              <w:t>muditā</w:t>
            </w:r>
          </w:p>
        </w:tc>
        <w:tc>
          <w:tcPr>
            <w:tcW w:w="2268" w:type="dxa"/>
          </w:tcPr>
          <w:p w14:paraId="6281457F" w14:textId="6CF9A787" w:rsidR="00ED2830" w:rsidRPr="00B01FA3" w:rsidRDefault="00ED2830" w:rsidP="00041EB3">
            <w:pPr>
              <w:rPr>
                <w:rFonts w:asciiTheme="minorHAnsi" w:hAnsiTheme="minorHAnsi"/>
              </w:rPr>
            </w:pPr>
            <w:r w:rsidRPr="00B01FA3">
              <w:rPr>
                <w:rFonts w:asciiTheme="minorHAnsi" w:hAnsiTheme="minorHAnsi"/>
              </w:rPr>
              <w:t>muditā</w:t>
            </w:r>
          </w:p>
        </w:tc>
        <w:tc>
          <w:tcPr>
            <w:tcW w:w="8039" w:type="dxa"/>
          </w:tcPr>
          <w:p w14:paraId="1453FF7E" w14:textId="71B29789" w:rsidR="00ED2830" w:rsidRPr="00B01FA3" w:rsidRDefault="00ED2830" w:rsidP="00041EB3">
            <w:pPr>
              <w:rPr>
                <w:rFonts w:asciiTheme="minorHAnsi" w:hAnsiTheme="minorHAnsi"/>
              </w:rPr>
            </w:pPr>
            <w:r w:rsidRPr="00B01FA3">
              <w:rPr>
                <w:rFonts w:asciiTheme="minorHAnsi" w:hAnsiTheme="minorHAnsi"/>
              </w:rPr>
              <w:t>one of the four immeasurables: the ability to rejoice in the success of another</w:t>
            </w:r>
          </w:p>
        </w:tc>
      </w:tr>
      <w:tr w:rsidR="00924FFC" w:rsidRPr="00B01FA3" w14:paraId="04CA5C19" w14:textId="77777777" w:rsidTr="00B01FA3">
        <w:trPr>
          <w:trHeight w:val="438"/>
        </w:trPr>
        <w:tc>
          <w:tcPr>
            <w:tcW w:w="2405" w:type="dxa"/>
          </w:tcPr>
          <w:p w14:paraId="22862DEE" w14:textId="77777777" w:rsidR="00924FFC" w:rsidRPr="00B01FA3" w:rsidRDefault="00924FFC" w:rsidP="00041EB3">
            <w:pPr>
              <w:rPr>
                <w:rFonts w:asciiTheme="minorHAnsi" w:hAnsiTheme="minorHAnsi"/>
              </w:rPr>
            </w:pPr>
          </w:p>
        </w:tc>
        <w:tc>
          <w:tcPr>
            <w:tcW w:w="1843" w:type="dxa"/>
          </w:tcPr>
          <w:p w14:paraId="109CC1F4" w14:textId="4751FF3D" w:rsidR="00924FFC" w:rsidRPr="00B01FA3" w:rsidRDefault="00924FFC" w:rsidP="00041EB3">
            <w:pPr>
              <w:rPr>
                <w:rFonts w:asciiTheme="minorHAnsi" w:hAnsiTheme="minorHAnsi"/>
              </w:rPr>
            </w:pPr>
            <w:r w:rsidRPr="00B01FA3">
              <w:rPr>
                <w:rFonts w:asciiTheme="minorHAnsi" w:hAnsiTheme="minorHAnsi"/>
              </w:rPr>
              <w:t>mudrā</w:t>
            </w:r>
          </w:p>
        </w:tc>
        <w:tc>
          <w:tcPr>
            <w:tcW w:w="2268" w:type="dxa"/>
          </w:tcPr>
          <w:p w14:paraId="68C973D9" w14:textId="77777777" w:rsidR="00924FFC" w:rsidRPr="00B01FA3" w:rsidRDefault="00924FFC" w:rsidP="00041EB3">
            <w:pPr>
              <w:rPr>
                <w:rFonts w:asciiTheme="minorHAnsi" w:hAnsiTheme="minorHAnsi"/>
              </w:rPr>
            </w:pPr>
          </w:p>
        </w:tc>
        <w:tc>
          <w:tcPr>
            <w:tcW w:w="8039" w:type="dxa"/>
          </w:tcPr>
          <w:p w14:paraId="136E2D3E" w14:textId="52D70074" w:rsidR="00924FFC" w:rsidRPr="00B01FA3" w:rsidRDefault="00924FFC" w:rsidP="00041EB3">
            <w:pPr>
              <w:rPr>
                <w:rFonts w:asciiTheme="minorHAnsi" w:hAnsiTheme="minorHAnsi"/>
              </w:rPr>
            </w:pPr>
            <w:r w:rsidRPr="00B01FA3">
              <w:rPr>
                <w:rFonts w:asciiTheme="minorHAnsi" w:hAnsiTheme="minorHAnsi"/>
              </w:rPr>
              <w:t xml:space="preserve">a specific gesture, usually of the hands, indicating a particular meaning; Buddha images are usually depicted in one of the standard mudrās: “wheel </w:t>
            </w:r>
            <w:r w:rsidRPr="00B01FA3">
              <w:rPr>
                <w:rFonts w:asciiTheme="minorHAnsi" w:hAnsiTheme="minorHAnsi"/>
              </w:rPr>
              <w:lastRenderedPageBreak/>
              <w:t>of teaching” (dharma-cakra), “meditation” (dhyāna), “earth-touching” (bhūmi</w:t>
            </w:r>
            <w:r w:rsidR="000F314D" w:rsidRPr="00B01FA3">
              <w:rPr>
                <w:rFonts w:asciiTheme="minorHAnsi" w:hAnsiTheme="minorHAnsi"/>
              </w:rPr>
              <w:t>-</w:t>
            </w:r>
            <w:r w:rsidRPr="00B01FA3">
              <w:rPr>
                <w:rFonts w:asciiTheme="minorHAnsi" w:hAnsiTheme="minorHAnsi"/>
              </w:rPr>
              <w:t>sparśa), or “fearless</w:t>
            </w:r>
            <w:r w:rsidR="000F314D" w:rsidRPr="00B01FA3">
              <w:rPr>
                <w:rFonts w:asciiTheme="minorHAnsi" w:hAnsiTheme="minorHAnsi"/>
              </w:rPr>
              <w:t>ness</w:t>
            </w:r>
            <w:r w:rsidRPr="00B01FA3">
              <w:rPr>
                <w:rFonts w:asciiTheme="minorHAnsi" w:hAnsiTheme="minorHAnsi"/>
              </w:rPr>
              <w:t>” (abhaya).</w:t>
            </w:r>
          </w:p>
        </w:tc>
      </w:tr>
      <w:tr w:rsidR="00B01FA3" w:rsidRPr="00B01FA3" w14:paraId="0D012442" w14:textId="27882477" w:rsidTr="00B01FA3">
        <w:trPr>
          <w:trHeight w:val="438"/>
        </w:trPr>
        <w:tc>
          <w:tcPr>
            <w:tcW w:w="2405" w:type="dxa"/>
          </w:tcPr>
          <w:p w14:paraId="360D372C" w14:textId="77777777" w:rsidR="00226365" w:rsidRPr="00B01FA3" w:rsidRDefault="00226365" w:rsidP="00041EB3">
            <w:pPr>
              <w:rPr>
                <w:rFonts w:asciiTheme="minorHAnsi" w:hAnsiTheme="minorHAnsi"/>
              </w:rPr>
            </w:pPr>
            <w:r w:rsidRPr="00B01FA3">
              <w:rPr>
                <w:rFonts w:asciiTheme="minorHAnsi" w:hAnsiTheme="minorHAnsi"/>
              </w:rPr>
              <w:lastRenderedPageBreak/>
              <w:t>nirvana</w:t>
            </w:r>
          </w:p>
        </w:tc>
        <w:tc>
          <w:tcPr>
            <w:tcW w:w="1843" w:type="dxa"/>
          </w:tcPr>
          <w:p w14:paraId="340A555F" w14:textId="77777777" w:rsidR="00226365" w:rsidRPr="00B01FA3" w:rsidRDefault="00226365" w:rsidP="00041EB3">
            <w:pPr>
              <w:rPr>
                <w:rFonts w:asciiTheme="minorHAnsi" w:hAnsiTheme="minorHAnsi"/>
              </w:rPr>
            </w:pPr>
            <w:r w:rsidRPr="00B01FA3">
              <w:rPr>
                <w:rFonts w:asciiTheme="minorHAnsi" w:hAnsiTheme="minorHAnsi"/>
              </w:rPr>
              <w:t>nirvā</w:t>
            </w:r>
            <w:r w:rsidRPr="00B01FA3">
              <w:rPr>
                <w:rFonts w:ascii="Calibri" w:hAnsi="Calibri" w:cs="Calibri"/>
              </w:rPr>
              <w:t>ṇ</w:t>
            </w:r>
            <w:r w:rsidRPr="00B01FA3">
              <w:rPr>
                <w:rFonts w:asciiTheme="minorHAnsi" w:hAnsiTheme="minorHAnsi"/>
              </w:rPr>
              <w:t>a</w:t>
            </w:r>
          </w:p>
        </w:tc>
        <w:tc>
          <w:tcPr>
            <w:tcW w:w="2268" w:type="dxa"/>
          </w:tcPr>
          <w:p w14:paraId="0B79F4CF" w14:textId="77777777" w:rsidR="00226365" w:rsidRPr="00B01FA3" w:rsidRDefault="00226365" w:rsidP="00041EB3">
            <w:pPr>
              <w:rPr>
                <w:rFonts w:asciiTheme="minorHAnsi" w:hAnsiTheme="minorHAnsi"/>
              </w:rPr>
            </w:pPr>
            <w:r w:rsidRPr="00B01FA3">
              <w:rPr>
                <w:rFonts w:asciiTheme="minorHAnsi" w:hAnsiTheme="minorHAnsi"/>
              </w:rPr>
              <w:t>nibbāna</w:t>
            </w:r>
          </w:p>
        </w:tc>
        <w:tc>
          <w:tcPr>
            <w:tcW w:w="8039" w:type="dxa"/>
          </w:tcPr>
          <w:p w14:paraId="2CEBBFD9" w14:textId="6F145CF4" w:rsidR="00226365" w:rsidRPr="00B01FA3" w:rsidRDefault="00226365" w:rsidP="00041EB3">
            <w:pPr>
              <w:rPr>
                <w:rFonts w:asciiTheme="minorHAnsi" w:hAnsiTheme="minorHAnsi"/>
              </w:rPr>
            </w:pPr>
            <w:r w:rsidRPr="00B01FA3">
              <w:rPr>
                <w:rFonts w:asciiTheme="minorHAnsi" w:hAnsiTheme="minorHAnsi"/>
              </w:rPr>
              <w:t>the “going out” of rebirth, in other words liberation from sa</w:t>
            </w:r>
            <w:r w:rsidRPr="00B01FA3">
              <w:rPr>
                <w:rFonts w:ascii="Calibri" w:hAnsi="Calibri" w:cs="Calibri"/>
              </w:rPr>
              <w:t>ṃ</w:t>
            </w:r>
            <w:r w:rsidRPr="00B01FA3">
              <w:rPr>
                <w:rFonts w:asciiTheme="minorHAnsi" w:hAnsiTheme="minorHAnsi"/>
              </w:rPr>
              <w:t>sāra</w:t>
            </w:r>
          </w:p>
        </w:tc>
      </w:tr>
      <w:tr w:rsidR="004665C9" w:rsidRPr="00B01FA3" w14:paraId="101F2625" w14:textId="77777777" w:rsidTr="00B01FA3">
        <w:trPr>
          <w:trHeight w:val="438"/>
        </w:trPr>
        <w:tc>
          <w:tcPr>
            <w:tcW w:w="2405" w:type="dxa"/>
          </w:tcPr>
          <w:p w14:paraId="1BAF55BF" w14:textId="35D0A7B2" w:rsidR="004665C9" w:rsidRPr="00B01FA3" w:rsidRDefault="004665C9" w:rsidP="00041EB3">
            <w:pPr>
              <w:rPr>
                <w:rFonts w:asciiTheme="minorHAnsi" w:hAnsiTheme="minorHAnsi"/>
              </w:rPr>
            </w:pPr>
            <w:r w:rsidRPr="00B01FA3">
              <w:rPr>
                <w:rFonts w:asciiTheme="minorHAnsi" w:hAnsiTheme="minorHAnsi"/>
              </w:rPr>
              <w:t>Pali</w:t>
            </w:r>
          </w:p>
        </w:tc>
        <w:tc>
          <w:tcPr>
            <w:tcW w:w="1843" w:type="dxa"/>
          </w:tcPr>
          <w:p w14:paraId="30793F67" w14:textId="6E26F48E" w:rsidR="004665C9" w:rsidRPr="00B01FA3" w:rsidRDefault="004665C9" w:rsidP="00041EB3">
            <w:pPr>
              <w:rPr>
                <w:rFonts w:asciiTheme="minorHAnsi" w:hAnsiTheme="minorHAnsi"/>
              </w:rPr>
            </w:pPr>
            <w:r w:rsidRPr="00B01FA3">
              <w:rPr>
                <w:rFonts w:asciiTheme="minorHAnsi" w:hAnsiTheme="minorHAnsi"/>
              </w:rPr>
              <w:t>Pāli</w:t>
            </w:r>
          </w:p>
        </w:tc>
        <w:tc>
          <w:tcPr>
            <w:tcW w:w="2268" w:type="dxa"/>
          </w:tcPr>
          <w:p w14:paraId="3682230B" w14:textId="5972F72E" w:rsidR="004665C9" w:rsidRPr="00B01FA3" w:rsidRDefault="004665C9" w:rsidP="00041EB3">
            <w:pPr>
              <w:rPr>
                <w:rFonts w:asciiTheme="minorHAnsi" w:hAnsiTheme="minorHAnsi"/>
              </w:rPr>
            </w:pPr>
            <w:r w:rsidRPr="00B01FA3">
              <w:rPr>
                <w:rFonts w:asciiTheme="minorHAnsi" w:hAnsiTheme="minorHAnsi"/>
              </w:rPr>
              <w:t>Pāli</w:t>
            </w:r>
          </w:p>
        </w:tc>
        <w:tc>
          <w:tcPr>
            <w:tcW w:w="8039" w:type="dxa"/>
          </w:tcPr>
          <w:p w14:paraId="3987218E" w14:textId="3557B8D0" w:rsidR="004665C9" w:rsidRPr="00B01FA3" w:rsidRDefault="004665C9" w:rsidP="00041EB3">
            <w:pPr>
              <w:rPr>
                <w:rFonts w:asciiTheme="minorHAnsi" w:hAnsiTheme="minorHAnsi"/>
              </w:rPr>
            </w:pPr>
            <w:r w:rsidRPr="00B01FA3">
              <w:rPr>
                <w:rFonts w:asciiTheme="minorHAnsi" w:hAnsiTheme="minorHAnsi"/>
              </w:rPr>
              <w:t xml:space="preserve">the language of Theravāda scriptures (including the “Pali canon”), believed by some Theravāda Buddhists to be that spoken by the Buddha himself  </w:t>
            </w:r>
          </w:p>
        </w:tc>
      </w:tr>
      <w:tr w:rsidR="00B01FA3" w:rsidRPr="00B01FA3" w14:paraId="31448360" w14:textId="77777777" w:rsidTr="00B01FA3">
        <w:trPr>
          <w:trHeight w:val="438"/>
        </w:trPr>
        <w:tc>
          <w:tcPr>
            <w:tcW w:w="2405" w:type="dxa"/>
          </w:tcPr>
          <w:p w14:paraId="1022A05B" w14:textId="7BE27DD6" w:rsidR="00521FC9" w:rsidRPr="00B01FA3" w:rsidRDefault="00663438" w:rsidP="00041EB3">
            <w:pPr>
              <w:rPr>
                <w:rFonts w:asciiTheme="minorHAnsi" w:hAnsiTheme="minorHAnsi"/>
              </w:rPr>
            </w:pPr>
            <w:r w:rsidRPr="00B01FA3">
              <w:rPr>
                <w:rFonts w:asciiTheme="minorHAnsi" w:hAnsiTheme="minorHAnsi"/>
              </w:rPr>
              <w:t>wisdom</w:t>
            </w:r>
          </w:p>
        </w:tc>
        <w:tc>
          <w:tcPr>
            <w:tcW w:w="1843" w:type="dxa"/>
          </w:tcPr>
          <w:p w14:paraId="1B6E6A53" w14:textId="3973F5FE" w:rsidR="00521FC9" w:rsidRPr="00B01FA3" w:rsidRDefault="00663438" w:rsidP="00041EB3">
            <w:pPr>
              <w:rPr>
                <w:rFonts w:asciiTheme="minorHAnsi" w:hAnsiTheme="minorHAnsi"/>
              </w:rPr>
            </w:pPr>
            <w:r w:rsidRPr="00B01FA3">
              <w:rPr>
                <w:rFonts w:asciiTheme="minorHAnsi" w:hAnsiTheme="minorHAnsi"/>
              </w:rPr>
              <w:t>prajñā</w:t>
            </w:r>
          </w:p>
        </w:tc>
        <w:tc>
          <w:tcPr>
            <w:tcW w:w="2268" w:type="dxa"/>
          </w:tcPr>
          <w:p w14:paraId="75F1AC85" w14:textId="438029F0" w:rsidR="00521FC9" w:rsidRPr="00B01FA3" w:rsidRDefault="00663438" w:rsidP="00041EB3">
            <w:pPr>
              <w:rPr>
                <w:rFonts w:asciiTheme="minorHAnsi" w:hAnsiTheme="minorHAnsi"/>
              </w:rPr>
            </w:pPr>
            <w:r w:rsidRPr="00B01FA3">
              <w:rPr>
                <w:rFonts w:asciiTheme="minorHAnsi" w:hAnsiTheme="minorHAnsi"/>
              </w:rPr>
              <w:t>paññā</w:t>
            </w:r>
          </w:p>
        </w:tc>
        <w:tc>
          <w:tcPr>
            <w:tcW w:w="8039" w:type="dxa"/>
          </w:tcPr>
          <w:p w14:paraId="53745743" w14:textId="70160E87" w:rsidR="00521FC9" w:rsidRPr="00B01FA3" w:rsidRDefault="002455CC" w:rsidP="00041EB3">
            <w:pPr>
              <w:rPr>
                <w:rFonts w:asciiTheme="minorHAnsi" w:hAnsiTheme="minorHAnsi"/>
              </w:rPr>
            </w:pPr>
            <w:r w:rsidRPr="00B01FA3">
              <w:rPr>
                <w:rFonts w:asciiTheme="minorHAnsi" w:hAnsiTheme="minorHAnsi"/>
              </w:rPr>
              <w:t>sometimes translated “insight”, a form of understanding that goes beyond knowledge</w:t>
            </w:r>
          </w:p>
        </w:tc>
      </w:tr>
      <w:tr w:rsidR="002455CC" w:rsidRPr="00B01FA3" w14:paraId="31CAEB66" w14:textId="77777777" w:rsidTr="00B01FA3">
        <w:trPr>
          <w:trHeight w:val="438"/>
        </w:trPr>
        <w:tc>
          <w:tcPr>
            <w:tcW w:w="2405" w:type="dxa"/>
          </w:tcPr>
          <w:p w14:paraId="4217D2BB" w14:textId="17A3708E" w:rsidR="002455CC" w:rsidRPr="00B01FA3" w:rsidRDefault="002455CC" w:rsidP="00041EB3">
            <w:pPr>
              <w:rPr>
                <w:rFonts w:asciiTheme="minorHAnsi" w:hAnsiTheme="minorHAnsi"/>
              </w:rPr>
            </w:pPr>
            <w:r w:rsidRPr="00B01FA3">
              <w:rPr>
                <w:rFonts w:asciiTheme="minorHAnsi" w:hAnsiTheme="minorHAnsi"/>
              </w:rPr>
              <w:t>worship</w:t>
            </w:r>
          </w:p>
        </w:tc>
        <w:tc>
          <w:tcPr>
            <w:tcW w:w="1843" w:type="dxa"/>
          </w:tcPr>
          <w:p w14:paraId="26FC17A4" w14:textId="404CBF0D" w:rsidR="002455CC" w:rsidRPr="00B01FA3" w:rsidRDefault="002455CC" w:rsidP="00041EB3">
            <w:pPr>
              <w:rPr>
                <w:rFonts w:asciiTheme="minorHAnsi" w:hAnsiTheme="minorHAnsi"/>
              </w:rPr>
            </w:pPr>
            <w:r w:rsidRPr="00B01FA3">
              <w:rPr>
                <w:rFonts w:asciiTheme="minorHAnsi" w:hAnsiTheme="minorHAnsi"/>
              </w:rPr>
              <w:t>pūjā</w:t>
            </w:r>
          </w:p>
        </w:tc>
        <w:tc>
          <w:tcPr>
            <w:tcW w:w="2268" w:type="dxa"/>
          </w:tcPr>
          <w:p w14:paraId="3023C1E6" w14:textId="71CE2078" w:rsidR="002455CC" w:rsidRPr="00B01FA3" w:rsidRDefault="002455CC" w:rsidP="00041EB3">
            <w:pPr>
              <w:rPr>
                <w:rFonts w:asciiTheme="minorHAnsi" w:hAnsiTheme="minorHAnsi"/>
              </w:rPr>
            </w:pPr>
            <w:r w:rsidRPr="00B01FA3">
              <w:rPr>
                <w:rFonts w:asciiTheme="minorHAnsi" w:hAnsiTheme="minorHAnsi"/>
              </w:rPr>
              <w:t>pūjā</w:t>
            </w:r>
          </w:p>
        </w:tc>
        <w:tc>
          <w:tcPr>
            <w:tcW w:w="8039" w:type="dxa"/>
          </w:tcPr>
          <w:p w14:paraId="66D26DCB" w14:textId="22EB9E72" w:rsidR="002455CC" w:rsidRPr="00B01FA3" w:rsidRDefault="002455CC" w:rsidP="00041EB3">
            <w:pPr>
              <w:rPr>
                <w:rFonts w:asciiTheme="minorHAnsi" w:hAnsiTheme="minorHAnsi"/>
              </w:rPr>
            </w:pPr>
            <w:r w:rsidRPr="00B01FA3">
              <w:rPr>
                <w:rFonts w:asciiTheme="minorHAnsi" w:hAnsiTheme="minorHAnsi"/>
              </w:rPr>
              <w:t>ritual worship or offering or devotion</w:t>
            </w:r>
          </w:p>
        </w:tc>
      </w:tr>
      <w:tr w:rsidR="00B01FA3" w:rsidRPr="00B01FA3" w14:paraId="7F1EB58A" w14:textId="77777777" w:rsidTr="00B01FA3">
        <w:trPr>
          <w:trHeight w:val="438"/>
        </w:trPr>
        <w:tc>
          <w:tcPr>
            <w:tcW w:w="2405" w:type="dxa"/>
          </w:tcPr>
          <w:p w14:paraId="6A62C4B5" w14:textId="3AEC2A72" w:rsidR="00D456FF" w:rsidRPr="00B01FA3" w:rsidRDefault="00D456FF" w:rsidP="00041EB3">
            <w:pPr>
              <w:rPr>
                <w:rFonts w:asciiTheme="minorHAnsi" w:hAnsiTheme="minorHAnsi"/>
              </w:rPr>
            </w:pPr>
          </w:p>
        </w:tc>
        <w:tc>
          <w:tcPr>
            <w:tcW w:w="1843" w:type="dxa"/>
          </w:tcPr>
          <w:p w14:paraId="6A214D5C" w14:textId="7EDF1365" w:rsidR="00D456FF" w:rsidRPr="00B01FA3" w:rsidRDefault="00D456FF" w:rsidP="00041EB3">
            <w:pPr>
              <w:rPr>
                <w:rFonts w:asciiTheme="minorHAnsi" w:hAnsiTheme="minorHAnsi"/>
              </w:rPr>
            </w:pPr>
            <w:r w:rsidRPr="00B01FA3">
              <w:rPr>
                <w:rFonts w:asciiTheme="minorHAnsi" w:hAnsiTheme="minorHAnsi"/>
              </w:rPr>
              <w:t>Śākyamuni</w:t>
            </w:r>
          </w:p>
        </w:tc>
        <w:tc>
          <w:tcPr>
            <w:tcW w:w="2268" w:type="dxa"/>
          </w:tcPr>
          <w:p w14:paraId="1AA1BB0F" w14:textId="77777777" w:rsidR="00D456FF" w:rsidRPr="00B01FA3" w:rsidRDefault="00D456FF" w:rsidP="00041EB3">
            <w:pPr>
              <w:rPr>
                <w:rFonts w:asciiTheme="minorHAnsi" w:hAnsiTheme="minorHAnsi"/>
              </w:rPr>
            </w:pPr>
          </w:p>
        </w:tc>
        <w:tc>
          <w:tcPr>
            <w:tcW w:w="8039" w:type="dxa"/>
          </w:tcPr>
          <w:p w14:paraId="4991F2DC" w14:textId="55A4576B" w:rsidR="00D456FF" w:rsidRPr="00B01FA3" w:rsidRDefault="00D456FF" w:rsidP="00041EB3">
            <w:pPr>
              <w:rPr>
                <w:rFonts w:asciiTheme="minorHAnsi" w:hAnsiTheme="minorHAnsi"/>
              </w:rPr>
            </w:pPr>
            <w:r w:rsidRPr="00B01FA3">
              <w:rPr>
                <w:rFonts w:asciiTheme="minorHAnsi" w:hAnsiTheme="minorHAnsi"/>
              </w:rPr>
              <w:t>“</w:t>
            </w:r>
            <w:proofErr w:type="gramStart"/>
            <w:r w:rsidRPr="00B01FA3">
              <w:rPr>
                <w:rFonts w:asciiTheme="minorHAnsi" w:hAnsiTheme="minorHAnsi"/>
              </w:rPr>
              <w:t>sage</w:t>
            </w:r>
            <w:proofErr w:type="gramEnd"/>
            <w:r w:rsidRPr="00B01FA3">
              <w:rPr>
                <w:rFonts w:asciiTheme="minorHAnsi" w:hAnsiTheme="minorHAnsi"/>
              </w:rPr>
              <w:t xml:space="preserve"> of the Śākyas”, a name used for the Buddha especially in Sanskrit texts</w:t>
            </w:r>
          </w:p>
        </w:tc>
      </w:tr>
      <w:tr w:rsidR="00B01FA3" w:rsidRPr="00B01FA3" w14:paraId="7B77B04A" w14:textId="6B2BC0C5" w:rsidTr="00B01FA3">
        <w:trPr>
          <w:trHeight w:val="438"/>
        </w:trPr>
        <w:tc>
          <w:tcPr>
            <w:tcW w:w="2405" w:type="dxa"/>
          </w:tcPr>
          <w:p w14:paraId="7FD8B976" w14:textId="77777777" w:rsidR="00226365" w:rsidRPr="00B01FA3" w:rsidRDefault="00226365" w:rsidP="00041EB3">
            <w:pPr>
              <w:rPr>
                <w:rFonts w:asciiTheme="minorHAnsi" w:hAnsiTheme="minorHAnsi"/>
              </w:rPr>
            </w:pPr>
            <w:r w:rsidRPr="00B01FA3">
              <w:rPr>
                <w:rFonts w:asciiTheme="minorHAnsi" w:hAnsiTheme="minorHAnsi"/>
              </w:rPr>
              <w:t>samsara</w:t>
            </w:r>
          </w:p>
        </w:tc>
        <w:tc>
          <w:tcPr>
            <w:tcW w:w="1843" w:type="dxa"/>
          </w:tcPr>
          <w:p w14:paraId="384FDAA1" w14:textId="77777777" w:rsidR="00226365" w:rsidRPr="00B01FA3" w:rsidRDefault="00226365" w:rsidP="00041EB3">
            <w:pPr>
              <w:rPr>
                <w:rFonts w:asciiTheme="minorHAnsi" w:hAnsiTheme="minorHAnsi"/>
              </w:rPr>
            </w:pPr>
            <w:r w:rsidRPr="00B01FA3">
              <w:rPr>
                <w:rFonts w:asciiTheme="minorHAnsi" w:hAnsiTheme="minorHAnsi"/>
              </w:rPr>
              <w:t>sa</w:t>
            </w:r>
            <w:r w:rsidRPr="00B01FA3">
              <w:rPr>
                <w:rFonts w:ascii="Calibri" w:hAnsi="Calibri" w:cs="Calibri"/>
              </w:rPr>
              <w:t>ṃ</w:t>
            </w:r>
            <w:r w:rsidRPr="00B01FA3">
              <w:rPr>
                <w:rFonts w:asciiTheme="minorHAnsi" w:hAnsiTheme="minorHAnsi"/>
              </w:rPr>
              <w:t>sāra</w:t>
            </w:r>
          </w:p>
        </w:tc>
        <w:tc>
          <w:tcPr>
            <w:tcW w:w="2268" w:type="dxa"/>
          </w:tcPr>
          <w:p w14:paraId="6A832894" w14:textId="76696A91" w:rsidR="00226365" w:rsidRPr="00B01FA3" w:rsidRDefault="00226365" w:rsidP="00041EB3">
            <w:pPr>
              <w:rPr>
                <w:rFonts w:asciiTheme="minorHAnsi" w:hAnsiTheme="minorHAnsi"/>
              </w:rPr>
            </w:pPr>
            <w:r w:rsidRPr="00B01FA3">
              <w:rPr>
                <w:rFonts w:asciiTheme="minorHAnsi" w:hAnsiTheme="minorHAnsi"/>
              </w:rPr>
              <w:t>sa</w:t>
            </w:r>
            <w:r w:rsidRPr="00B01FA3">
              <w:rPr>
                <w:rFonts w:ascii="Calibri" w:hAnsi="Calibri" w:cs="Calibri"/>
              </w:rPr>
              <w:t>ṃ</w:t>
            </w:r>
            <w:r w:rsidRPr="00B01FA3">
              <w:rPr>
                <w:rFonts w:asciiTheme="minorHAnsi" w:hAnsiTheme="minorHAnsi"/>
              </w:rPr>
              <w:t>sāra</w:t>
            </w:r>
          </w:p>
        </w:tc>
        <w:tc>
          <w:tcPr>
            <w:tcW w:w="8039" w:type="dxa"/>
          </w:tcPr>
          <w:p w14:paraId="088F36B6" w14:textId="65EFB1DC" w:rsidR="00226365" w:rsidRPr="00B01FA3" w:rsidRDefault="00226365" w:rsidP="00041EB3">
            <w:pPr>
              <w:rPr>
                <w:rFonts w:asciiTheme="minorHAnsi" w:hAnsiTheme="minorHAnsi"/>
              </w:rPr>
            </w:pPr>
            <w:r w:rsidRPr="00B01FA3">
              <w:rPr>
                <w:rFonts w:asciiTheme="minorHAnsi" w:hAnsiTheme="minorHAnsi"/>
              </w:rPr>
              <w:t>the “wandering on” of incessant rebirth and redeath</w:t>
            </w:r>
          </w:p>
        </w:tc>
      </w:tr>
      <w:tr w:rsidR="00B01FA3" w:rsidRPr="00B01FA3" w14:paraId="34BD0036" w14:textId="77777777" w:rsidTr="00B01FA3">
        <w:trPr>
          <w:trHeight w:val="438"/>
        </w:trPr>
        <w:tc>
          <w:tcPr>
            <w:tcW w:w="2405" w:type="dxa"/>
          </w:tcPr>
          <w:p w14:paraId="4BFD1A6F" w14:textId="4E1588FD" w:rsidR="00D456FF" w:rsidRPr="00B01FA3" w:rsidRDefault="00D456FF" w:rsidP="00041EB3">
            <w:pPr>
              <w:rPr>
                <w:rFonts w:asciiTheme="minorHAnsi" w:hAnsiTheme="minorHAnsi"/>
              </w:rPr>
            </w:pPr>
          </w:p>
        </w:tc>
        <w:tc>
          <w:tcPr>
            <w:tcW w:w="1843" w:type="dxa"/>
          </w:tcPr>
          <w:p w14:paraId="47EBF342" w14:textId="4A48DC63" w:rsidR="00D456FF" w:rsidRPr="00B01FA3" w:rsidRDefault="00521FC9" w:rsidP="00041EB3">
            <w:pPr>
              <w:rPr>
                <w:rFonts w:asciiTheme="minorHAnsi" w:hAnsiTheme="minorHAnsi"/>
              </w:rPr>
            </w:pPr>
            <w:r w:rsidRPr="00B01FA3">
              <w:rPr>
                <w:rFonts w:asciiTheme="minorHAnsi" w:hAnsiTheme="minorHAnsi"/>
              </w:rPr>
              <w:t>Sa</w:t>
            </w:r>
            <w:r w:rsidRPr="00B01FA3">
              <w:rPr>
                <w:rFonts w:ascii="Calibri" w:hAnsi="Calibri" w:cs="Calibri"/>
              </w:rPr>
              <w:t>ṅ</w:t>
            </w:r>
            <w:r w:rsidRPr="00B01FA3">
              <w:rPr>
                <w:rFonts w:asciiTheme="minorHAnsi" w:hAnsiTheme="minorHAnsi"/>
              </w:rPr>
              <w:t>gha</w:t>
            </w:r>
          </w:p>
        </w:tc>
        <w:tc>
          <w:tcPr>
            <w:tcW w:w="2268" w:type="dxa"/>
          </w:tcPr>
          <w:p w14:paraId="41E00A23" w14:textId="2FB3C770" w:rsidR="00D456FF" w:rsidRPr="00B01FA3" w:rsidRDefault="00521FC9" w:rsidP="00041EB3">
            <w:pPr>
              <w:rPr>
                <w:rFonts w:asciiTheme="minorHAnsi" w:hAnsiTheme="minorHAnsi"/>
              </w:rPr>
            </w:pPr>
            <w:r w:rsidRPr="00B01FA3">
              <w:rPr>
                <w:rFonts w:asciiTheme="minorHAnsi" w:hAnsiTheme="minorHAnsi"/>
              </w:rPr>
              <w:t>Sa</w:t>
            </w:r>
            <w:r w:rsidRPr="00B01FA3">
              <w:rPr>
                <w:rFonts w:ascii="Calibri" w:hAnsi="Calibri" w:cs="Calibri"/>
              </w:rPr>
              <w:t>ṅ</w:t>
            </w:r>
            <w:r w:rsidRPr="00B01FA3">
              <w:rPr>
                <w:rFonts w:asciiTheme="minorHAnsi" w:hAnsiTheme="minorHAnsi"/>
              </w:rPr>
              <w:t xml:space="preserve">gha </w:t>
            </w:r>
          </w:p>
        </w:tc>
        <w:tc>
          <w:tcPr>
            <w:tcW w:w="8039" w:type="dxa"/>
          </w:tcPr>
          <w:p w14:paraId="4AF1AE6A" w14:textId="686FEFCF" w:rsidR="00D456FF" w:rsidRPr="00B01FA3" w:rsidRDefault="00521FC9" w:rsidP="00041EB3">
            <w:pPr>
              <w:rPr>
                <w:rFonts w:asciiTheme="minorHAnsi" w:hAnsiTheme="minorHAnsi"/>
              </w:rPr>
            </w:pPr>
            <w:r w:rsidRPr="00B01FA3">
              <w:rPr>
                <w:rFonts w:asciiTheme="minorHAnsi" w:hAnsiTheme="minorHAnsi"/>
              </w:rPr>
              <w:t>the “community” of Buddhists, often referring specifically to monks and nuns</w:t>
            </w:r>
          </w:p>
        </w:tc>
      </w:tr>
      <w:tr w:rsidR="002455CC" w:rsidRPr="00B01FA3" w14:paraId="2CD0D051" w14:textId="77777777" w:rsidTr="00B01FA3">
        <w:trPr>
          <w:trHeight w:val="438"/>
        </w:trPr>
        <w:tc>
          <w:tcPr>
            <w:tcW w:w="2405" w:type="dxa"/>
          </w:tcPr>
          <w:p w14:paraId="0C394281" w14:textId="46F7EB00" w:rsidR="002455CC" w:rsidRPr="00B01FA3" w:rsidRDefault="00B01FA3" w:rsidP="00041EB3">
            <w:pPr>
              <w:rPr>
                <w:rFonts w:asciiTheme="minorHAnsi" w:hAnsiTheme="minorHAnsi"/>
              </w:rPr>
            </w:pPr>
            <w:r w:rsidRPr="00B01FA3">
              <w:rPr>
                <w:rFonts w:asciiTheme="minorHAnsi" w:hAnsiTheme="minorHAnsi"/>
              </w:rPr>
              <w:t>good conduct</w:t>
            </w:r>
          </w:p>
        </w:tc>
        <w:tc>
          <w:tcPr>
            <w:tcW w:w="1843" w:type="dxa"/>
          </w:tcPr>
          <w:p w14:paraId="0BB902B8" w14:textId="79A49828" w:rsidR="002455CC" w:rsidRPr="00B01FA3" w:rsidRDefault="002455CC" w:rsidP="00041EB3">
            <w:pPr>
              <w:rPr>
                <w:rFonts w:asciiTheme="minorHAnsi" w:hAnsiTheme="minorHAnsi"/>
              </w:rPr>
            </w:pPr>
            <w:r w:rsidRPr="00B01FA3">
              <w:rPr>
                <w:rFonts w:asciiTheme="minorHAnsi" w:hAnsiTheme="minorHAnsi"/>
              </w:rPr>
              <w:t>śīla</w:t>
            </w:r>
          </w:p>
        </w:tc>
        <w:tc>
          <w:tcPr>
            <w:tcW w:w="2268" w:type="dxa"/>
          </w:tcPr>
          <w:p w14:paraId="53A9F4A1" w14:textId="77110582" w:rsidR="002455CC" w:rsidRPr="00B01FA3" w:rsidRDefault="002455CC" w:rsidP="00041EB3">
            <w:pPr>
              <w:rPr>
                <w:rFonts w:asciiTheme="minorHAnsi" w:hAnsiTheme="minorHAnsi"/>
              </w:rPr>
            </w:pPr>
            <w:r w:rsidRPr="00B01FA3">
              <w:rPr>
                <w:rFonts w:asciiTheme="minorHAnsi" w:hAnsiTheme="minorHAnsi"/>
              </w:rPr>
              <w:t>sīla</w:t>
            </w:r>
          </w:p>
        </w:tc>
        <w:tc>
          <w:tcPr>
            <w:tcW w:w="8039" w:type="dxa"/>
          </w:tcPr>
          <w:p w14:paraId="3A1AAFA3" w14:textId="1D87584C" w:rsidR="002455CC" w:rsidRPr="00B01FA3" w:rsidRDefault="002455CC" w:rsidP="00041EB3">
            <w:pPr>
              <w:rPr>
                <w:rFonts w:asciiTheme="minorHAnsi" w:hAnsiTheme="minorHAnsi"/>
              </w:rPr>
            </w:pPr>
            <w:r w:rsidRPr="00B01FA3">
              <w:rPr>
                <w:rFonts w:asciiTheme="minorHAnsi" w:hAnsiTheme="minorHAnsi"/>
              </w:rPr>
              <w:t>virtuous or good behaviour, or obedience to rules of Buddhist conduct such as the five lay precepts or the monastic rules</w:t>
            </w:r>
          </w:p>
        </w:tc>
      </w:tr>
      <w:tr w:rsidR="00B01FA3" w:rsidRPr="00B01FA3" w14:paraId="465E762A" w14:textId="77777777" w:rsidTr="00B01FA3">
        <w:trPr>
          <w:trHeight w:val="438"/>
        </w:trPr>
        <w:tc>
          <w:tcPr>
            <w:tcW w:w="2405" w:type="dxa"/>
          </w:tcPr>
          <w:p w14:paraId="0BA57BE3" w14:textId="60486FC3" w:rsidR="00924FFC" w:rsidRPr="00B01FA3" w:rsidRDefault="00924FFC" w:rsidP="00041EB3">
            <w:pPr>
              <w:rPr>
                <w:rFonts w:asciiTheme="minorHAnsi" w:hAnsiTheme="minorHAnsi"/>
              </w:rPr>
            </w:pPr>
            <w:r w:rsidRPr="00B01FA3">
              <w:rPr>
                <w:rFonts w:asciiTheme="minorHAnsi" w:hAnsiTheme="minorHAnsi"/>
              </w:rPr>
              <w:t>craving</w:t>
            </w:r>
          </w:p>
        </w:tc>
        <w:tc>
          <w:tcPr>
            <w:tcW w:w="1843" w:type="dxa"/>
          </w:tcPr>
          <w:p w14:paraId="668E789F" w14:textId="31AA7AE6" w:rsidR="00924FFC" w:rsidRPr="00B01FA3" w:rsidRDefault="00924FFC" w:rsidP="00041EB3">
            <w:pPr>
              <w:rPr>
                <w:rFonts w:asciiTheme="minorHAnsi" w:hAnsiTheme="minorHAnsi"/>
              </w:rPr>
            </w:pPr>
            <w:r w:rsidRPr="00B01FA3">
              <w:rPr>
                <w:rFonts w:asciiTheme="minorHAnsi" w:hAnsiTheme="minorHAnsi"/>
              </w:rPr>
              <w:t>t</w:t>
            </w:r>
            <w:r w:rsidRPr="00B01FA3">
              <w:rPr>
                <w:rFonts w:ascii="Calibri" w:hAnsi="Calibri" w:cs="Calibri"/>
              </w:rPr>
              <w:t>ṛ</w:t>
            </w:r>
            <w:r w:rsidRPr="00B01FA3">
              <w:rPr>
                <w:rFonts w:asciiTheme="minorHAnsi" w:hAnsiTheme="minorHAnsi"/>
              </w:rPr>
              <w:t>ṣ</w:t>
            </w:r>
            <w:r w:rsidRPr="00B01FA3">
              <w:rPr>
                <w:rFonts w:ascii="Calibri" w:hAnsi="Calibri" w:cs="Calibri"/>
              </w:rPr>
              <w:t>ṇ</w:t>
            </w:r>
            <w:r w:rsidRPr="00B01FA3">
              <w:rPr>
                <w:rFonts w:asciiTheme="minorHAnsi" w:hAnsiTheme="minorHAnsi"/>
              </w:rPr>
              <w:t>ā</w:t>
            </w:r>
          </w:p>
        </w:tc>
        <w:tc>
          <w:tcPr>
            <w:tcW w:w="2268" w:type="dxa"/>
          </w:tcPr>
          <w:p w14:paraId="02B65EB5" w14:textId="75C3F88F" w:rsidR="00924FFC" w:rsidRPr="00B01FA3" w:rsidRDefault="00924FFC" w:rsidP="00041EB3">
            <w:pPr>
              <w:rPr>
                <w:rFonts w:asciiTheme="minorHAnsi" w:hAnsiTheme="minorHAnsi"/>
              </w:rPr>
            </w:pPr>
            <w:r w:rsidRPr="00B01FA3">
              <w:rPr>
                <w:rFonts w:asciiTheme="minorHAnsi" w:hAnsiTheme="minorHAnsi"/>
              </w:rPr>
              <w:t>tanhā</w:t>
            </w:r>
          </w:p>
        </w:tc>
        <w:tc>
          <w:tcPr>
            <w:tcW w:w="8039" w:type="dxa"/>
          </w:tcPr>
          <w:p w14:paraId="295BEB4B" w14:textId="3FCE0419" w:rsidR="00924FFC" w:rsidRPr="00B01FA3" w:rsidRDefault="00924FFC" w:rsidP="00041EB3">
            <w:pPr>
              <w:rPr>
                <w:rFonts w:asciiTheme="minorHAnsi" w:hAnsiTheme="minorHAnsi"/>
              </w:rPr>
            </w:pPr>
            <w:r w:rsidRPr="00B01FA3">
              <w:rPr>
                <w:rFonts w:asciiTheme="minorHAnsi" w:hAnsiTheme="minorHAnsi"/>
              </w:rPr>
              <w:t>the “thirst” or craving that is said to be the cause of suffering</w:t>
            </w:r>
          </w:p>
        </w:tc>
      </w:tr>
      <w:tr w:rsidR="004665C9" w:rsidRPr="00B01FA3" w14:paraId="6661308E" w14:textId="77777777" w:rsidTr="00B01FA3">
        <w:trPr>
          <w:trHeight w:val="438"/>
        </w:trPr>
        <w:tc>
          <w:tcPr>
            <w:tcW w:w="2405" w:type="dxa"/>
          </w:tcPr>
          <w:p w14:paraId="03B82DA5" w14:textId="57595B4F" w:rsidR="004665C9" w:rsidRPr="00B01FA3" w:rsidRDefault="004665C9" w:rsidP="00041EB3">
            <w:pPr>
              <w:rPr>
                <w:rFonts w:asciiTheme="minorHAnsi" w:hAnsiTheme="minorHAnsi"/>
              </w:rPr>
            </w:pPr>
            <w:r w:rsidRPr="00B01FA3">
              <w:rPr>
                <w:rFonts w:asciiTheme="minorHAnsi" w:hAnsiTheme="minorHAnsi"/>
              </w:rPr>
              <w:t>Theravada</w:t>
            </w:r>
          </w:p>
        </w:tc>
        <w:tc>
          <w:tcPr>
            <w:tcW w:w="1843" w:type="dxa"/>
          </w:tcPr>
          <w:p w14:paraId="4BBBD10E" w14:textId="684C7A75" w:rsidR="004665C9" w:rsidRPr="00B01FA3" w:rsidRDefault="004665C9" w:rsidP="00041EB3">
            <w:pPr>
              <w:rPr>
                <w:rFonts w:asciiTheme="minorHAnsi" w:hAnsiTheme="minorHAnsi"/>
              </w:rPr>
            </w:pPr>
            <w:r w:rsidRPr="00B01FA3">
              <w:rPr>
                <w:rFonts w:asciiTheme="minorHAnsi" w:hAnsiTheme="minorHAnsi"/>
              </w:rPr>
              <w:t>Theravāda</w:t>
            </w:r>
          </w:p>
        </w:tc>
        <w:tc>
          <w:tcPr>
            <w:tcW w:w="2268" w:type="dxa"/>
          </w:tcPr>
          <w:p w14:paraId="7F4FF62D" w14:textId="0E459A92" w:rsidR="004665C9" w:rsidRPr="00B01FA3" w:rsidRDefault="004665C9" w:rsidP="00041EB3">
            <w:pPr>
              <w:rPr>
                <w:rFonts w:asciiTheme="minorHAnsi" w:hAnsiTheme="minorHAnsi"/>
              </w:rPr>
            </w:pPr>
            <w:r w:rsidRPr="00B01FA3">
              <w:rPr>
                <w:rFonts w:asciiTheme="minorHAnsi" w:hAnsiTheme="minorHAnsi"/>
              </w:rPr>
              <w:t>Theravāda</w:t>
            </w:r>
          </w:p>
        </w:tc>
        <w:tc>
          <w:tcPr>
            <w:tcW w:w="8039" w:type="dxa"/>
          </w:tcPr>
          <w:p w14:paraId="39A4125C" w14:textId="6C5F59F2" w:rsidR="004665C9" w:rsidRPr="00B01FA3" w:rsidRDefault="004665C9" w:rsidP="00041EB3">
            <w:pPr>
              <w:rPr>
                <w:rFonts w:asciiTheme="minorHAnsi" w:hAnsiTheme="minorHAnsi"/>
              </w:rPr>
            </w:pPr>
            <w:r w:rsidRPr="00B01FA3">
              <w:rPr>
                <w:rFonts w:asciiTheme="minorHAnsi" w:hAnsiTheme="minorHAnsi"/>
              </w:rPr>
              <w:t xml:space="preserve">the “doctrine of the elders” school of Buddhism, now </w:t>
            </w:r>
            <w:r w:rsidR="00D456FF" w:rsidRPr="00B01FA3">
              <w:rPr>
                <w:rFonts w:asciiTheme="minorHAnsi" w:hAnsiTheme="minorHAnsi"/>
              </w:rPr>
              <w:t>prevalent</w:t>
            </w:r>
            <w:r w:rsidRPr="00B01FA3">
              <w:rPr>
                <w:rFonts w:asciiTheme="minorHAnsi" w:hAnsiTheme="minorHAnsi"/>
              </w:rPr>
              <w:t xml:space="preserve"> in Sri Lanka and Southeast Asia</w:t>
            </w:r>
            <w:r w:rsidR="00D456FF" w:rsidRPr="00B01FA3">
              <w:rPr>
                <w:rFonts w:asciiTheme="minorHAnsi" w:hAnsiTheme="minorHAnsi"/>
              </w:rPr>
              <w:t>, but tracing its lineage back to the earliest days of Buddhism</w:t>
            </w:r>
          </w:p>
        </w:tc>
      </w:tr>
      <w:tr w:rsidR="00B01FA3" w:rsidRPr="00B01FA3" w14:paraId="3C83E959" w14:textId="77777777" w:rsidTr="00B01FA3">
        <w:trPr>
          <w:trHeight w:val="438"/>
        </w:trPr>
        <w:tc>
          <w:tcPr>
            <w:tcW w:w="2405" w:type="dxa"/>
          </w:tcPr>
          <w:p w14:paraId="7549B2F1" w14:textId="6FC42099" w:rsidR="00ED2830" w:rsidRPr="00B01FA3" w:rsidRDefault="00ED2830" w:rsidP="00041EB3">
            <w:pPr>
              <w:rPr>
                <w:rFonts w:asciiTheme="minorHAnsi" w:hAnsiTheme="minorHAnsi"/>
              </w:rPr>
            </w:pPr>
            <w:r w:rsidRPr="00B01FA3">
              <w:rPr>
                <w:rFonts w:asciiTheme="minorHAnsi" w:hAnsiTheme="minorHAnsi"/>
              </w:rPr>
              <w:t>equanimity</w:t>
            </w:r>
          </w:p>
        </w:tc>
        <w:tc>
          <w:tcPr>
            <w:tcW w:w="1843" w:type="dxa"/>
          </w:tcPr>
          <w:p w14:paraId="2762CF8C" w14:textId="32BDAE75" w:rsidR="00ED2830" w:rsidRPr="00B01FA3" w:rsidRDefault="00ED2830" w:rsidP="00041EB3">
            <w:pPr>
              <w:rPr>
                <w:rFonts w:asciiTheme="minorHAnsi" w:hAnsiTheme="minorHAnsi"/>
              </w:rPr>
            </w:pPr>
            <w:r w:rsidRPr="00B01FA3">
              <w:rPr>
                <w:rFonts w:asciiTheme="minorHAnsi" w:hAnsiTheme="minorHAnsi"/>
              </w:rPr>
              <w:t>upekṣā</w:t>
            </w:r>
          </w:p>
        </w:tc>
        <w:tc>
          <w:tcPr>
            <w:tcW w:w="2268" w:type="dxa"/>
          </w:tcPr>
          <w:p w14:paraId="14C0FB6A" w14:textId="43B859BC" w:rsidR="00ED2830" w:rsidRPr="00B01FA3" w:rsidRDefault="00ED2830" w:rsidP="00041EB3">
            <w:pPr>
              <w:rPr>
                <w:rFonts w:asciiTheme="minorHAnsi" w:hAnsiTheme="minorHAnsi"/>
              </w:rPr>
            </w:pPr>
            <w:r w:rsidRPr="00B01FA3">
              <w:rPr>
                <w:rFonts w:asciiTheme="minorHAnsi" w:hAnsiTheme="minorHAnsi"/>
              </w:rPr>
              <w:t>upekkhā</w:t>
            </w:r>
          </w:p>
        </w:tc>
        <w:tc>
          <w:tcPr>
            <w:tcW w:w="8039" w:type="dxa"/>
          </w:tcPr>
          <w:p w14:paraId="4A79C4E9" w14:textId="052CCAE2" w:rsidR="00ED2830" w:rsidRPr="00B01FA3" w:rsidRDefault="00ED2830" w:rsidP="00041EB3">
            <w:pPr>
              <w:rPr>
                <w:rFonts w:asciiTheme="minorHAnsi" w:hAnsiTheme="minorHAnsi"/>
              </w:rPr>
            </w:pPr>
            <w:r w:rsidRPr="00B01FA3">
              <w:rPr>
                <w:rFonts w:asciiTheme="minorHAnsi" w:hAnsiTheme="minorHAnsi"/>
              </w:rPr>
              <w:t xml:space="preserve">one of the four immeasurables: the ability to remain </w:t>
            </w:r>
            <w:proofErr w:type="gramStart"/>
            <w:r w:rsidRPr="00B01FA3">
              <w:rPr>
                <w:rFonts w:asciiTheme="minorHAnsi" w:hAnsiTheme="minorHAnsi"/>
              </w:rPr>
              <w:t>even-minded</w:t>
            </w:r>
            <w:proofErr w:type="gramEnd"/>
            <w:r w:rsidRPr="00B01FA3">
              <w:rPr>
                <w:rFonts w:asciiTheme="minorHAnsi" w:hAnsiTheme="minorHAnsi"/>
              </w:rPr>
              <w:t xml:space="preserve"> and unmoved by external events or emotional turbulence</w:t>
            </w:r>
          </w:p>
        </w:tc>
      </w:tr>
      <w:tr w:rsidR="00D456FF" w:rsidRPr="00B01FA3" w14:paraId="26110471" w14:textId="77777777" w:rsidTr="00B01FA3">
        <w:trPr>
          <w:trHeight w:val="438"/>
        </w:trPr>
        <w:tc>
          <w:tcPr>
            <w:tcW w:w="2405" w:type="dxa"/>
          </w:tcPr>
          <w:p w14:paraId="0A16AE66" w14:textId="2D69E48B" w:rsidR="00D456FF" w:rsidRPr="00B01FA3" w:rsidRDefault="00D456FF" w:rsidP="00041EB3">
            <w:pPr>
              <w:rPr>
                <w:rFonts w:asciiTheme="minorHAnsi" w:hAnsiTheme="minorHAnsi"/>
              </w:rPr>
            </w:pPr>
          </w:p>
        </w:tc>
        <w:tc>
          <w:tcPr>
            <w:tcW w:w="1843" w:type="dxa"/>
          </w:tcPr>
          <w:p w14:paraId="232D3CF3" w14:textId="22CBBCE9" w:rsidR="00D456FF" w:rsidRPr="00B01FA3" w:rsidRDefault="00D456FF" w:rsidP="00041EB3">
            <w:pPr>
              <w:rPr>
                <w:rFonts w:asciiTheme="minorHAnsi" w:hAnsiTheme="minorHAnsi"/>
              </w:rPr>
            </w:pPr>
            <w:r w:rsidRPr="00B01FA3">
              <w:rPr>
                <w:rFonts w:asciiTheme="minorHAnsi" w:hAnsiTheme="minorHAnsi"/>
              </w:rPr>
              <w:t>Vajrayāna</w:t>
            </w:r>
          </w:p>
        </w:tc>
        <w:tc>
          <w:tcPr>
            <w:tcW w:w="2268" w:type="dxa"/>
          </w:tcPr>
          <w:p w14:paraId="1987EB1B" w14:textId="77777777" w:rsidR="00D456FF" w:rsidRPr="00B01FA3" w:rsidRDefault="00D456FF" w:rsidP="00041EB3">
            <w:pPr>
              <w:rPr>
                <w:rFonts w:asciiTheme="minorHAnsi" w:hAnsiTheme="minorHAnsi"/>
              </w:rPr>
            </w:pPr>
          </w:p>
        </w:tc>
        <w:tc>
          <w:tcPr>
            <w:tcW w:w="8039" w:type="dxa"/>
          </w:tcPr>
          <w:p w14:paraId="0E532076" w14:textId="02F33B84" w:rsidR="00D456FF" w:rsidRPr="00B01FA3" w:rsidRDefault="00D456FF" w:rsidP="00041EB3">
            <w:pPr>
              <w:rPr>
                <w:rFonts w:asciiTheme="minorHAnsi" w:hAnsiTheme="minorHAnsi"/>
              </w:rPr>
            </w:pPr>
            <w:r w:rsidRPr="00B01FA3">
              <w:rPr>
                <w:rFonts w:asciiTheme="minorHAnsi" w:hAnsiTheme="minorHAnsi"/>
              </w:rPr>
              <w:t>the “diamond/thunderbolt vehicle” sometimes presented as a third type of Buddhism but perhaps best considered a sub-branch of Mahāyāna; prevalent in Tibet</w:t>
            </w:r>
          </w:p>
        </w:tc>
      </w:tr>
    </w:tbl>
    <w:p w14:paraId="5C0513AD" w14:textId="7DEF17D3" w:rsidR="00226365" w:rsidRPr="00B01FA3" w:rsidRDefault="00226365" w:rsidP="00226365">
      <w:pPr>
        <w:rPr>
          <w:rFonts w:asciiTheme="minorHAnsi" w:hAnsiTheme="minorHAnsi"/>
        </w:rPr>
      </w:pPr>
    </w:p>
    <w:sectPr w:rsidR="00226365" w:rsidRPr="00B01FA3" w:rsidSect="00226365">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ntium Plus">
    <w:altName w:val="Gentium Plus"/>
    <w:panose1 w:val="02000503060000020004"/>
    <w:charset w:val="00"/>
    <w:family w:val="auto"/>
    <w:pitch w:val="variable"/>
    <w:sig w:usb0="E00002FF" w:usb1="5200E1FB" w:usb2="02000029" w:usb3="00000000" w:csb0="0000019F" w:csb1="00000000"/>
  </w:font>
  <w:font w:name="Aptos">
    <w:panose1 w:val="020B0004020202020204"/>
    <w:charset w:val="00"/>
    <w:family w:val="swiss"/>
    <w:pitch w:val="variable"/>
    <w:sig w:usb0="20000287" w:usb1="00000003" w:usb2="00000000" w:usb3="00000000" w:csb0="0000019F" w:csb1="00000000"/>
  </w:font>
  <w:font w:name="Times New Roman (Body CS)">
    <w:altName w:val="Times New Roman"/>
    <w:panose1 w:val="02020603050405020304"/>
    <w:charset w:val="00"/>
    <w:family w:val="roman"/>
    <w:pitch w:val="default"/>
  </w:font>
  <w:font w:name="Aptos Display">
    <w:panose1 w:val="020B0004020202020204"/>
    <w:charset w:val="00"/>
    <w:family w:val="swiss"/>
    <w:pitch w:val="variable"/>
    <w:sig w:usb0="20000287" w:usb1="00000003"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E52BA"/>
    <w:multiLevelType w:val="hybridMultilevel"/>
    <w:tmpl w:val="5EAA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6325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365"/>
    <w:rsid w:val="000F314D"/>
    <w:rsid w:val="00226365"/>
    <w:rsid w:val="002455CC"/>
    <w:rsid w:val="004665C9"/>
    <w:rsid w:val="004A7824"/>
    <w:rsid w:val="004B0D27"/>
    <w:rsid w:val="00521FC9"/>
    <w:rsid w:val="00611D05"/>
    <w:rsid w:val="00631C67"/>
    <w:rsid w:val="00663438"/>
    <w:rsid w:val="00663958"/>
    <w:rsid w:val="00751F9D"/>
    <w:rsid w:val="00924FFC"/>
    <w:rsid w:val="00A321BF"/>
    <w:rsid w:val="00A76F34"/>
    <w:rsid w:val="00B01FA3"/>
    <w:rsid w:val="00BC3A11"/>
    <w:rsid w:val="00D456FF"/>
    <w:rsid w:val="00E51F1C"/>
    <w:rsid w:val="00ED2830"/>
    <w:rsid w:val="00FB128A"/>
  </w:rsids>
  <m:mathPr>
    <m:mathFont m:val="Cambria Math"/>
    <m:brkBin m:val="before"/>
    <m:brkBinSub m:val="--"/>
    <m:smallFrac m:val="0"/>
    <m:dispDef/>
    <m:lMargin m:val="0"/>
    <m:rMargin m:val="0"/>
    <m:defJc m:val="centerGroup"/>
    <m:wrapIndent m:val="1440"/>
    <m:intLim m:val="subSup"/>
    <m:naryLim m:val="undOvr"/>
  </m:mathPr>
  <w:themeFontLang w:val="en-GB"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F775D"/>
  <w14:defaultImageDpi w14:val="32767"/>
  <w15:chartTrackingRefBased/>
  <w15:docId w15:val="{B5A2B82E-17D3-AE44-9CE0-CEE1F61E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ntium Plus" w:eastAsiaTheme="minorHAnsi" w:hAnsi="Gentium Plus" w:cs="Times New Roman (Body CS)"/>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22636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2636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26365"/>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26365"/>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226365"/>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226365"/>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226365"/>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26365"/>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226365"/>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36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2636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26365"/>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26365"/>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226365"/>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226365"/>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226365"/>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226365"/>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226365"/>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22636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636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26365"/>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26365"/>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22636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26365"/>
    <w:rPr>
      <w:i/>
      <w:iCs/>
      <w:color w:val="404040" w:themeColor="text1" w:themeTint="BF"/>
    </w:rPr>
  </w:style>
  <w:style w:type="paragraph" w:styleId="ListParagraph">
    <w:name w:val="List Paragraph"/>
    <w:basedOn w:val="Normal"/>
    <w:uiPriority w:val="34"/>
    <w:qFormat/>
    <w:rsid w:val="00226365"/>
    <w:pPr>
      <w:ind w:left="720"/>
      <w:contextualSpacing/>
    </w:pPr>
  </w:style>
  <w:style w:type="character" w:styleId="IntenseEmphasis">
    <w:name w:val="Intense Emphasis"/>
    <w:basedOn w:val="DefaultParagraphFont"/>
    <w:uiPriority w:val="21"/>
    <w:qFormat/>
    <w:rsid w:val="00226365"/>
    <w:rPr>
      <w:i/>
      <w:iCs/>
      <w:color w:val="0F4761" w:themeColor="accent1" w:themeShade="BF"/>
    </w:rPr>
  </w:style>
  <w:style w:type="paragraph" w:styleId="IntenseQuote">
    <w:name w:val="Intense Quote"/>
    <w:basedOn w:val="Normal"/>
    <w:next w:val="Normal"/>
    <w:link w:val="IntenseQuoteChar"/>
    <w:uiPriority w:val="30"/>
    <w:qFormat/>
    <w:rsid w:val="0022636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26365"/>
    <w:rPr>
      <w:i/>
      <w:iCs/>
      <w:color w:val="0F4761" w:themeColor="accent1" w:themeShade="BF"/>
    </w:rPr>
  </w:style>
  <w:style w:type="character" w:styleId="IntenseReference">
    <w:name w:val="Intense Reference"/>
    <w:basedOn w:val="DefaultParagraphFont"/>
    <w:uiPriority w:val="32"/>
    <w:qFormat/>
    <w:rsid w:val="00226365"/>
    <w:rPr>
      <w:b/>
      <w:bCs/>
      <w:smallCaps/>
      <w:color w:val="0F4761" w:themeColor="accent1" w:themeShade="BF"/>
      <w:spacing w:val="5"/>
    </w:rPr>
  </w:style>
  <w:style w:type="table" w:styleId="TableGrid">
    <w:name w:val="Table Grid"/>
    <w:basedOn w:val="TableNormal"/>
    <w:uiPriority w:val="39"/>
    <w:rsid w:val="0022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01FA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B01FA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5">
    <w:name w:val="Grid Table 1 Light Accent 5"/>
    <w:basedOn w:val="TableNormal"/>
    <w:uiPriority w:val="46"/>
    <w:rsid w:val="00B01FA3"/>
    <w:tblPr>
      <w:tblStyleRowBandSize w:val="1"/>
      <w:tblStyleColBandSize w:val="1"/>
      <w:tblBorders>
        <w:top w:val="single" w:sz="4" w:space="0" w:color="E59EDC" w:themeColor="accent5" w:themeTint="66"/>
        <w:left w:val="single" w:sz="4" w:space="0" w:color="E59EDC" w:themeColor="accent5" w:themeTint="66"/>
        <w:bottom w:val="single" w:sz="4" w:space="0" w:color="E59EDC" w:themeColor="accent5" w:themeTint="66"/>
        <w:right w:val="single" w:sz="4" w:space="0" w:color="E59EDC" w:themeColor="accent5" w:themeTint="66"/>
        <w:insideH w:val="single" w:sz="4" w:space="0" w:color="E59EDC" w:themeColor="accent5" w:themeTint="66"/>
        <w:insideV w:val="single" w:sz="4" w:space="0" w:color="E59EDC" w:themeColor="accent5" w:themeTint="66"/>
      </w:tblBorders>
    </w:tblPr>
    <w:tblStylePr w:type="firstRow">
      <w:rPr>
        <w:b/>
        <w:bCs/>
      </w:rPr>
      <w:tblPr/>
      <w:tcPr>
        <w:tcBorders>
          <w:bottom w:val="single" w:sz="12" w:space="0" w:color="D86DCB" w:themeColor="accent5" w:themeTint="99"/>
        </w:tcBorders>
      </w:tcPr>
    </w:tblStylePr>
    <w:tblStylePr w:type="lastRow">
      <w:rPr>
        <w:b/>
        <w:bCs/>
      </w:rPr>
      <w:tblPr/>
      <w:tcPr>
        <w:tcBorders>
          <w:top w:val="double" w:sz="2" w:space="0" w:color="D86DCB"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01FA3"/>
    <w:tblPr>
      <w:tblStyleRowBandSize w:val="1"/>
      <w:tblStyleColBandSize w:val="1"/>
      <w:tblBorders>
        <w:top w:val="single" w:sz="4" w:space="0" w:color="95DCF7" w:themeColor="accent4" w:themeTint="66"/>
        <w:left w:val="single" w:sz="4" w:space="0" w:color="95DCF7" w:themeColor="accent4" w:themeTint="66"/>
        <w:bottom w:val="single" w:sz="4" w:space="0" w:color="95DCF7" w:themeColor="accent4" w:themeTint="66"/>
        <w:right w:val="single" w:sz="4" w:space="0" w:color="95DCF7" w:themeColor="accent4" w:themeTint="66"/>
        <w:insideH w:val="single" w:sz="4" w:space="0" w:color="95DCF7" w:themeColor="accent4" w:themeTint="66"/>
        <w:insideV w:val="single" w:sz="4" w:space="0" w:color="95DCF7" w:themeColor="accent4" w:themeTint="66"/>
      </w:tblBorders>
    </w:tblPr>
    <w:tblStylePr w:type="firstRow">
      <w:rPr>
        <w:b/>
        <w:bCs/>
      </w:rPr>
      <w:tblPr/>
      <w:tcPr>
        <w:tcBorders>
          <w:bottom w:val="single" w:sz="12" w:space="0" w:color="60CAF3" w:themeColor="accent4" w:themeTint="99"/>
        </w:tcBorders>
      </w:tcPr>
    </w:tblStylePr>
    <w:tblStylePr w:type="lastRow">
      <w:rPr>
        <w:b/>
        <w:bCs/>
      </w:rPr>
      <w:tblPr/>
      <w:tcPr>
        <w:tcBorders>
          <w:top w:val="double" w:sz="2" w:space="0" w:color="60CAF3" w:themeColor="accent4"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B01FA3"/>
    <w:tblPr>
      <w:tblStyleRowBandSize w:val="1"/>
      <w:tblStyleColBandSize w:val="1"/>
      <w:tblBorders>
        <w:top w:val="single" w:sz="2" w:space="0" w:color="45B0E1" w:themeColor="accent1" w:themeTint="99"/>
        <w:bottom w:val="single" w:sz="2" w:space="0" w:color="45B0E1" w:themeColor="accent1" w:themeTint="99"/>
        <w:insideH w:val="single" w:sz="2" w:space="0" w:color="45B0E1" w:themeColor="accent1" w:themeTint="99"/>
        <w:insideV w:val="single" w:sz="2" w:space="0" w:color="45B0E1" w:themeColor="accent1" w:themeTint="99"/>
      </w:tblBorders>
    </w:tblPr>
    <w:tblStylePr w:type="firstRow">
      <w:rPr>
        <w:b/>
        <w:bCs/>
      </w:rPr>
      <w:tblPr/>
      <w:tcPr>
        <w:tcBorders>
          <w:top w:val="nil"/>
          <w:bottom w:val="single" w:sz="12" w:space="0" w:color="45B0E1" w:themeColor="accent1" w:themeTint="99"/>
          <w:insideH w:val="nil"/>
          <w:insideV w:val="nil"/>
        </w:tcBorders>
        <w:shd w:val="clear" w:color="auto" w:fill="FFFFFF" w:themeFill="background1"/>
      </w:tcPr>
    </w:tblStylePr>
    <w:tblStylePr w:type="lastRow">
      <w:rPr>
        <w:b/>
        <w:bCs/>
      </w:rPr>
      <w:tblPr/>
      <w:tcPr>
        <w:tcBorders>
          <w:top w:val="double" w:sz="2" w:space="0" w:color="45B0E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E4F5" w:themeFill="accent1" w:themeFillTint="33"/>
      </w:tcPr>
    </w:tblStylePr>
    <w:tblStylePr w:type="band1Horz">
      <w:tblPr/>
      <w:tcPr>
        <w:shd w:val="clear" w:color="auto" w:fill="C1E4F5" w:themeFill="accent1" w:themeFillTint="33"/>
      </w:tcPr>
    </w:tblStylePr>
  </w:style>
  <w:style w:type="table" w:styleId="GridTable2-Accent2">
    <w:name w:val="Grid Table 2 Accent 2"/>
    <w:basedOn w:val="TableNormal"/>
    <w:uiPriority w:val="47"/>
    <w:rsid w:val="00B01FA3"/>
    <w:tblPr>
      <w:tblStyleRowBandSize w:val="1"/>
      <w:tblStyleColBandSize w:val="1"/>
      <w:tblBorders>
        <w:top w:val="single" w:sz="2" w:space="0" w:color="F1A983" w:themeColor="accent2" w:themeTint="99"/>
        <w:bottom w:val="single" w:sz="2" w:space="0" w:color="F1A983" w:themeColor="accent2" w:themeTint="99"/>
        <w:insideH w:val="single" w:sz="2" w:space="0" w:color="F1A983" w:themeColor="accent2" w:themeTint="99"/>
        <w:insideV w:val="single" w:sz="2" w:space="0" w:color="F1A983" w:themeColor="accent2" w:themeTint="99"/>
      </w:tblBorders>
    </w:tblPr>
    <w:tblStylePr w:type="firstRow">
      <w:rPr>
        <w:b/>
        <w:bCs/>
      </w:rPr>
      <w:tblPr/>
      <w:tcPr>
        <w:tcBorders>
          <w:top w:val="nil"/>
          <w:bottom w:val="single" w:sz="12" w:space="0" w:color="F1A983" w:themeColor="accent2" w:themeTint="99"/>
          <w:insideH w:val="nil"/>
          <w:insideV w:val="nil"/>
        </w:tcBorders>
        <w:shd w:val="clear" w:color="auto" w:fill="FFFFFF" w:themeFill="background1"/>
      </w:tcPr>
    </w:tblStylePr>
    <w:tblStylePr w:type="lastRow">
      <w:rPr>
        <w:b/>
        <w:bCs/>
      </w:rPr>
      <w:tblPr/>
      <w:tcPr>
        <w:tcBorders>
          <w:top w:val="double" w:sz="2" w:space="0" w:color="F1A9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2D5" w:themeFill="accent2" w:themeFillTint="33"/>
      </w:tcPr>
    </w:tblStylePr>
    <w:tblStylePr w:type="band1Horz">
      <w:tblPr/>
      <w:tcPr>
        <w:shd w:val="clear" w:color="auto" w:fill="FAE2D5" w:themeFill="accent2" w:themeFillTint="33"/>
      </w:tcPr>
    </w:tblStylePr>
  </w:style>
  <w:style w:type="table" w:styleId="GridTable4-Accent6">
    <w:name w:val="Grid Table 4 Accent 6"/>
    <w:basedOn w:val="TableNormal"/>
    <w:uiPriority w:val="49"/>
    <w:rsid w:val="00B01FA3"/>
    <w:tblPr>
      <w:tblStyleRowBandSize w:val="1"/>
      <w:tblStyleColBandSize w:val="1"/>
      <w:tblBorders>
        <w:top w:val="single" w:sz="4" w:space="0" w:color="8DD873" w:themeColor="accent6" w:themeTint="99"/>
        <w:left w:val="single" w:sz="4" w:space="0" w:color="8DD873" w:themeColor="accent6" w:themeTint="99"/>
        <w:bottom w:val="single" w:sz="4" w:space="0" w:color="8DD873" w:themeColor="accent6" w:themeTint="99"/>
        <w:right w:val="single" w:sz="4" w:space="0" w:color="8DD873" w:themeColor="accent6" w:themeTint="99"/>
        <w:insideH w:val="single" w:sz="4" w:space="0" w:color="8DD873" w:themeColor="accent6" w:themeTint="99"/>
        <w:insideV w:val="single" w:sz="4" w:space="0" w:color="8DD873" w:themeColor="accent6" w:themeTint="99"/>
      </w:tblBorders>
    </w:tblPr>
    <w:tblStylePr w:type="firstRow">
      <w:rPr>
        <w:b/>
        <w:bCs/>
        <w:color w:val="FFFFFF" w:themeColor="background1"/>
      </w:rPr>
      <w:tblPr/>
      <w:tcPr>
        <w:tcBorders>
          <w:top w:val="single" w:sz="4" w:space="0" w:color="4EA72E" w:themeColor="accent6"/>
          <w:left w:val="single" w:sz="4" w:space="0" w:color="4EA72E" w:themeColor="accent6"/>
          <w:bottom w:val="single" w:sz="4" w:space="0" w:color="4EA72E" w:themeColor="accent6"/>
          <w:right w:val="single" w:sz="4" w:space="0" w:color="4EA72E" w:themeColor="accent6"/>
          <w:insideH w:val="nil"/>
          <w:insideV w:val="nil"/>
        </w:tcBorders>
        <w:shd w:val="clear" w:color="auto" w:fill="4EA72E" w:themeFill="accent6"/>
      </w:tcPr>
    </w:tblStylePr>
    <w:tblStylePr w:type="lastRow">
      <w:rPr>
        <w:b/>
        <w:bCs/>
      </w:rPr>
      <w:tblPr/>
      <w:tcPr>
        <w:tcBorders>
          <w:top w:val="double" w:sz="4" w:space="0" w:color="4EA72E" w:themeColor="accent6"/>
        </w:tcBorders>
      </w:tcPr>
    </w:tblStylePr>
    <w:tblStylePr w:type="firstCol">
      <w:rPr>
        <w:b/>
        <w:bCs/>
      </w:rPr>
    </w:tblStylePr>
    <w:tblStylePr w:type="lastCol">
      <w:rPr>
        <w:b/>
        <w:bCs/>
      </w:rPr>
    </w:tblStylePr>
    <w:tblStylePr w:type="band1Vert">
      <w:tblPr/>
      <w:tcPr>
        <w:shd w:val="clear" w:color="auto" w:fill="D9F2D0" w:themeFill="accent6" w:themeFillTint="33"/>
      </w:tcPr>
    </w:tblStylePr>
    <w:tblStylePr w:type="band1Horz">
      <w:tblPr/>
      <w:tcPr>
        <w:shd w:val="clear" w:color="auto" w:fill="D9F2D0" w:themeFill="accent6" w:themeFillTint="33"/>
      </w:tcPr>
    </w:tblStylePr>
  </w:style>
  <w:style w:type="table" w:styleId="GridTable4-Accent5">
    <w:name w:val="Grid Table 4 Accent 5"/>
    <w:basedOn w:val="TableNormal"/>
    <w:uiPriority w:val="49"/>
    <w:rsid w:val="00B01FA3"/>
    <w:tblPr>
      <w:tblStyleRowBandSize w:val="1"/>
      <w:tblStyleColBandSize w:val="1"/>
      <w:tblBorders>
        <w:top w:val="single" w:sz="4" w:space="0" w:color="D86DCB" w:themeColor="accent5" w:themeTint="99"/>
        <w:left w:val="single" w:sz="4" w:space="0" w:color="D86DCB" w:themeColor="accent5" w:themeTint="99"/>
        <w:bottom w:val="single" w:sz="4" w:space="0" w:color="D86DCB" w:themeColor="accent5" w:themeTint="99"/>
        <w:right w:val="single" w:sz="4" w:space="0" w:color="D86DCB" w:themeColor="accent5" w:themeTint="99"/>
        <w:insideH w:val="single" w:sz="4" w:space="0" w:color="D86DCB" w:themeColor="accent5" w:themeTint="99"/>
        <w:insideV w:val="single" w:sz="4" w:space="0" w:color="D86DCB" w:themeColor="accent5" w:themeTint="99"/>
      </w:tblBorders>
    </w:tblPr>
    <w:tblStylePr w:type="firstRow">
      <w:rPr>
        <w:b/>
        <w:bCs/>
        <w:color w:val="FFFFFF" w:themeColor="background1"/>
      </w:rPr>
      <w:tblPr/>
      <w:tcPr>
        <w:tcBorders>
          <w:top w:val="single" w:sz="4" w:space="0" w:color="A02B93" w:themeColor="accent5"/>
          <w:left w:val="single" w:sz="4" w:space="0" w:color="A02B93" w:themeColor="accent5"/>
          <w:bottom w:val="single" w:sz="4" w:space="0" w:color="A02B93" w:themeColor="accent5"/>
          <w:right w:val="single" w:sz="4" w:space="0" w:color="A02B93" w:themeColor="accent5"/>
          <w:insideH w:val="nil"/>
          <w:insideV w:val="nil"/>
        </w:tcBorders>
        <w:shd w:val="clear" w:color="auto" w:fill="A02B93" w:themeFill="accent5"/>
      </w:tcPr>
    </w:tblStylePr>
    <w:tblStylePr w:type="lastRow">
      <w:rPr>
        <w:b/>
        <w:bCs/>
      </w:rPr>
      <w:tblPr/>
      <w:tcPr>
        <w:tcBorders>
          <w:top w:val="double" w:sz="4" w:space="0" w:color="A02B93" w:themeColor="accent5"/>
        </w:tcBorders>
      </w:tcPr>
    </w:tblStylePr>
    <w:tblStylePr w:type="firstCol">
      <w:rPr>
        <w:b/>
        <w:bCs/>
      </w:rPr>
    </w:tblStylePr>
    <w:tblStylePr w:type="lastCol">
      <w:rPr>
        <w:b/>
        <w:bCs/>
      </w:rPr>
    </w:tblStylePr>
    <w:tblStylePr w:type="band1Vert">
      <w:tblPr/>
      <w:tcPr>
        <w:shd w:val="clear" w:color="auto" w:fill="F2CEED" w:themeFill="accent5" w:themeFillTint="33"/>
      </w:tcPr>
    </w:tblStylePr>
    <w:tblStylePr w:type="band1Horz">
      <w:tblPr/>
      <w:tcPr>
        <w:shd w:val="clear" w:color="auto" w:fill="F2CEED" w:themeFill="accent5" w:themeFillTint="33"/>
      </w:tcPr>
    </w:tblStylePr>
  </w:style>
  <w:style w:type="table" w:styleId="ListTable1Light-Accent6">
    <w:name w:val="List Table 1 Light Accent 6"/>
    <w:basedOn w:val="TableNormal"/>
    <w:uiPriority w:val="46"/>
    <w:rsid w:val="00B01FA3"/>
    <w:tblPr>
      <w:tblStyleRowBandSize w:val="1"/>
      <w:tblStyleColBandSize w:val="1"/>
    </w:tblPr>
    <w:tblStylePr w:type="firstRow">
      <w:rPr>
        <w:b/>
        <w:bCs/>
      </w:rPr>
      <w:tblPr/>
      <w:tcPr>
        <w:tcBorders>
          <w:bottom w:val="single" w:sz="4" w:space="0" w:color="8DD873" w:themeColor="accent6" w:themeTint="99"/>
        </w:tcBorders>
      </w:tcPr>
    </w:tblStylePr>
    <w:tblStylePr w:type="lastRow">
      <w:rPr>
        <w:b/>
        <w:bCs/>
      </w:rPr>
      <w:tblPr/>
      <w:tcPr>
        <w:tcBorders>
          <w:top w:val="single" w:sz="4" w:space="0" w:color="8DD873" w:themeColor="accent6" w:themeTint="99"/>
        </w:tcBorders>
      </w:tcPr>
    </w:tblStylePr>
    <w:tblStylePr w:type="firstCol">
      <w:rPr>
        <w:b/>
        <w:bCs/>
      </w:rPr>
    </w:tblStylePr>
    <w:tblStylePr w:type="lastCol">
      <w:rPr>
        <w:b/>
        <w:bCs/>
      </w:rPr>
    </w:tblStylePr>
    <w:tblStylePr w:type="band1Vert">
      <w:tblPr/>
      <w:tcPr>
        <w:shd w:val="clear" w:color="auto" w:fill="D9F2D0" w:themeFill="accent6" w:themeFillTint="33"/>
      </w:tcPr>
    </w:tblStylePr>
    <w:tblStylePr w:type="band1Horz">
      <w:tblPr/>
      <w:tcPr>
        <w:shd w:val="clear" w:color="auto" w:fill="D9F2D0" w:themeFill="accent6" w:themeFillTint="33"/>
      </w:tcPr>
    </w:tblStylePr>
  </w:style>
  <w:style w:type="table" w:styleId="TableGridLight">
    <w:name w:val="Grid Table Light"/>
    <w:basedOn w:val="TableNormal"/>
    <w:uiPriority w:val="40"/>
    <w:rsid w:val="00B01F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01FA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Accent1">
    <w:name w:val="List Table 3 Accent 1"/>
    <w:basedOn w:val="TableNormal"/>
    <w:uiPriority w:val="48"/>
    <w:rsid w:val="00B01FA3"/>
    <w:tblPr>
      <w:tblStyleRowBandSize w:val="1"/>
      <w:tblStyleColBandSize w:val="1"/>
      <w:tblBorders>
        <w:top w:val="single" w:sz="4" w:space="0" w:color="156082" w:themeColor="accent1"/>
        <w:left w:val="single" w:sz="4" w:space="0" w:color="156082" w:themeColor="accent1"/>
        <w:bottom w:val="single" w:sz="4" w:space="0" w:color="156082" w:themeColor="accent1"/>
        <w:right w:val="single" w:sz="4" w:space="0" w:color="156082" w:themeColor="accent1"/>
      </w:tblBorders>
    </w:tblPr>
    <w:tblStylePr w:type="firstRow">
      <w:rPr>
        <w:b/>
        <w:bCs/>
        <w:color w:val="FFFFFF" w:themeColor="background1"/>
      </w:rPr>
      <w:tblPr/>
      <w:tcPr>
        <w:shd w:val="clear" w:color="auto" w:fill="156082" w:themeFill="accent1"/>
      </w:tcPr>
    </w:tblStylePr>
    <w:tblStylePr w:type="lastRow">
      <w:rPr>
        <w:b/>
        <w:bCs/>
      </w:rPr>
      <w:tblPr/>
      <w:tcPr>
        <w:tcBorders>
          <w:top w:val="double" w:sz="4" w:space="0" w:color="15608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56082" w:themeColor="accent1"/>
          <w:right w:val="single" w:sz="4" w:space="0" w:color="156082" w:themeColor="accent1"/>
        </w:tcBorders>
      </w:tcPr>
    </w:tblStylePr>
    <w:tblStylePr w:type="band1Horz">
      <w:tblPr/>
      <w:tcPr>
        <w:tcBorders>
          <w:top w:val="single" w:sz="4" w:space="0" w:color="156082" w:themeColor="accent1"/>
          <w:bottom w:val="single" w:sz="4" w:space="0" w:color="15608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6082" w:themeColor="accent1"/>
          <w:left w:val="nil"/>
        </w:tcBorders>
      </w:tcPr>
    </w:tblStylePr>
    <w:tblStylePr w:type="swCell">
      <w:tblPr/>
      <w:tcPr>
        <w:tcBorders>
          <w:top w:val="double" w:sz="4" w:space="0" w:color="156082" w:themeColor="accent1"/>
          <w:right w:val="nil"/>
        </w:tcBorders>
      </w:tcPr>
    </w:tblStylePr>
  </w:style>
  <w:style w:type="table" w:styleId="ListTable6ColourfulAccent5">
    <w:name w:val="List Table 6 Colorful Accent 5"/>
    <w:basedOn w:val="TableNormal"/>
    <w:uiPriority w:val="51"/>
    <w:rsid w:val="00B01FA3"/>
    <w:rPr>
      <w:color w:val="77206D" w:themeColor="accent5" w:themeShade="BF"/>
    </w:rPr>
    <w:tblPr>
      <w:tblStyleRowBandSize w:val="1"/>
      <w:tblStyleColBandSize w:val="1"/>
      <w:tblBorders>
        <w:top w:val="single" w:sz="4" w:space="0" w:color="A02B93" w:themeColor="accent5"/>
        <w:bottom w:val="single" w:sz="4" w:space="0" w:color="A02B93" w:themeColor="accent5"/>
      </w:tblBorders>
    </w:tblPr>
    <w:tblStylePr w:type="firstRow">
      <w:rPr>
        <w:b/>
        <w:bCs/>
      </w:rPr>
      <w:tblPr/>
      <w:tcPr>
        <w:tcBorders>
          <w:bottom w:val="single" w:sz="4" w:space="0" w:color="A02B93" w:themeColor="accent5"/>
        </w:tcBorders>
      </w:tcPr>
    </w:tblStylePr>
    <w:tblStylePr w:type="lastRow">
      <w:rPr>
        <w:b/>
        <w:bCs/>
      </w:rPr>
      <w:tblPr/>
      <w:tcPr>
        <w:tcBorders>
          <w:top w:val="double" w:sz="4" w:space="0" w:color="A02B93" w:themeColor="accent5"/>
        </w:tcBorders>
      </w:tcPr>
    </w:tblStylePr>
    <w:tblStylePr w:type="firstCol">
      <w:rPr>
        <w:b/>
        <w:bCs/>
      </w:rPr>
    </w:tblStylePr>
    <w:tblStylePr w:type="lastCol">
      <w:rPr>
        <w:b/>
        <w:bCs/>
      </w:rPr>
    </w:tblStylePr>
    <w:tblStylePr w:type="band1Vert">
      <w:tblPr/>
      <w:tcPr>
        <w:shd w:val="clear" w:color="auto" w:fill="F2CEED" w:themeFill="accent5" w:themeFillTint="33"/>
      </w:tcPr>
    </w:tblStylePr>
    <w:tblStylePr w:type="band1Horz">
      <w:tblPr/>
      <w:tcPr>
        <w:shd w:val="clear" w:color="auto" w:fill="F2CEED"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Appleton</dc:creator>
  <cp:keywords/>
  <dc:description/>
  <cp:lastModifiedBy>Naomi Appleton</cp:lastModifiedBy>
  <cp:revision>6</cp:revision>
  <dcterms:created xsi:type="dcterms:W3CDTF">2024-05-30T07:56:00Z</dcterms:created>
  <dcterms:modified xsi:type="dcterms:W3CDTF">2024-05-30T14:03:00Z</dcterms:modified>
</cp:coreProperties>
</file>