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56240" w14:textId="42444EE9" w:rsidR="00182880" w:rsidRPr="00593B8C" w:rsidRDefault="00182880" w:rsidP="00593B8C">
      <w:pPr>
        <w:pStyle w:val="2"/>
        <w:rPr>
          <w:lang w:val="en-GB"/>
        </w:rPr>
      </w:pPr>
      <w:bookmarkStart w:id="0" w:name="OLE_LINK19"/>
      <w:bookmarkStart w:id="1" w:name="OLE_LINK20"/>
      <w:bookmarkStart w:id="2" w:name="OLE_LINK77"/>
      <w:r w:rsidRPr="00593B8C">
        <w:t>Echo of Petals in the Dark</w:t>
      </w:r>
      <w:r w:rsidRPr="00593B8C">
        <w:rPr>
          <w:rFonts w:hint="eastAsia"/>
        </w:rPr>
        <w:t xml:space="preserve"> </w:t>
      </w:r>
      <w:r w:rsidRPr="00593B8C">
        <w:t>–</w:t>
      </w:r>
      <w:r w:rsidRPr="00593B8C">
        <w:rPr>
          <w:rFonts w:hint="eastAsia"/>
        </w:rPr>
        <w:t xml:space="preserve"> </w:t>
      </w:r>
      <w:r w:rsidR="00581391">
        <w:rPr>
          <w:rFonts w:hint="eastAsia"/>
        </w:rPr>
        <w:t>Cura</w:t>
      </w:r>
      <w:r w:rsidR="00581391">
        <w:t>torial Statement</w:t>
      </w:r>
    </w:p>
    <w:p w14:paraId="63F6D0F4" w14:textId="77777777" w:rsidR="00593B8C" w:rsidRDefault="00593B8C" w:rsidP="00182880">
      <w:pPr>
        <w:rPr>
          <w:i/>
          <w:iCs/>
        </w:rPr>
      </w:pPr>
    </w:p>
    <w:p w14:paraId="01B70C97" w14:textId="4F8D8634" w:rsidR="00182880" w:rsidRPr="00182880" w:rsidRDefault="00182880" w:rsidP="00182880">
      <w:bookmarkStart w:id="3" w:name="OLE_LINK1"/>
      <w:bookmarkStart w:id="4" w:name="OLE_LINK2"/>
      <w:r w:rsidRPr="00182880">
        <w:rPr>
          <w:i/>
          <w:iCs/>
        </w:rPr>
        <w:t>The apparition of these faces in the crowd;</w:t>
      </w:r>
      <w:r w:rsidRPr="00182880">
        <w:rPr>
          <w:i/>
          <w:iCs/>
        </w:rPr>
        <w:br/>
        <w:t>Petals on a wet, black bough.</w:t>
      </w:r>
      <w:r w:rsidRPr="00182880">
        <w:br/>
        <w:t>—Ezra Pound, </w:t>
      </w:r>
      <w:r w:rsidRPr="00182880">
        <w:rPr>
          <w:i/>
          <w:iCs/>
        </w:rPr>
        <w:t>In a Station of the Metro</w:t>
      </w:r>
      <w:r w:rsidRPr="00182880">
        <w:t> (1913)</w:t>
      </w:r>
      <w:r w:rsidR="00417C7E">
        <w:rPr>
          <w:rStyle w:val="a5"/>
        </w:rPr>
        <w:footnoteReference w:id="1"/>
      </w:r>
    </w:p>
    <w:p w14:paraId="7E30203D" w14:textId="77777777" w:rsidR="00593B8C" w:rsidRDefault="00593B8C" w:rsidP="00593B8C">
      <w:pPr>
        <w:jc w:val="both"/>
        <w:rPr>
          <w:i/>
          <w:iCs/>
        </w:rPr>
      </w:pPr>
    </w:p>
    <w:bookmarkEnd w:id="3"/>
    <w:bookmarkEnd w:id="4"/>
    <w:p w14:paraId="64683301" w14:textId="7518791D" w:rsidR="00F96C76" w:rsidRPr="00F96C76" w:rsidRDefault="00F96C76" w:rsidP="00F96C76">
      <w:pPr>
        <w:jc w:val="both"/>
      </w:pPr>
      <w:r w:rsidRPr="00F96C76">
        <w:t xml:space="preserve">The exhibition </w:t>
      </w:r>
      <w:r w:rsidRPr="00F96C76">
        <w:rPr>
          <w:i/>
          <w:iCs/>
        </w:rPr>
        <w:t>Echo of Petals in the Dark</w:t>
      </w:r>
      <w:r w:rsidRPr="00F96C76">
        <w:t xml:space="preserve"> unfolds in the transient corridors of Telfer Subway, a historic underground pass</w:t>
      </w:r>
      <w:r w:rsidR="00F477E3">
        <w:t>way</w:t>
      </w:r>
      <w:r w:rsidRPr="00F96C76">
        <w:t xml:space="preserve"> in Edinburgh. Inspired by Pound’s imagist verse, </w:t>
      </w:r>
      <w:r w:rsidRPr="006B56C9">
        <w:rPr>
          <w:highlight w:val="yellow"/>
        </w:rPr>
        <w:t>the title</w:t>
      </w:r>
      <w:r w:rsidRPr="00F96C76">
        <w:t xml:space="preserve"> reflects the fleeting nature of transit spaces and the momentary appearance of informal, elusive artistic gestures—works that surface briefly, without institutional framing, before vanishing into the fabric of the city. This exhibition seeks to explore such ephemeral practices and their spectral presence in overlooked urban spaces.</w:t>
      </w:r>
    </w:p>
    <w:p w14:paraId="0C79A8A0" w14:textId="77777777" w:rsidR="00F96C76" w:rsidRDefault="00F96C76" w:rsidP="00F96C76">
      <w:pPr>
        <w:jc w:val="both"/>
      </w:pPr>
    </w:p>
    <w:p w14:paraId="28DA7028" w14:textId="7CA0A3F0" w:rsidR="003A6FDC" w:rsidRDefault="00C54987" w:rsidP="003A6FDC">
      <w:pPr>
        <w:jc w:val="both"/>
      </w:pPr>
      <w:r w:rsidRPr="00C54987">
        <w:t xml:space="preserve">This exhibition introduces </w:t>
      </w:r>
      <w:r w:rsidRPr="006B56C9">
        <w:rPr>
          <w:highlight w:val="yellow"/>
        </w:rPr>
        <w:t>the term Ghost Art</w:t>
      </w:r>
      <w:r w:rsidRPr="00C54987">
        <w:t xml:space="preserve"> as a curatorial framework grounded in the intersection of </w:t>
      </w:r>
      <w:r w:rsidRPr="00AB2BE1">
        <w:rPr>
          <w:i/>
          <w:iCs/>
        </w:rPr>
        <w:t>non-place</w:t>
      </w:r>
      <w:r w:rsidRPr="00C54987">
        <w:t xml:space="preserve"> and </w:t>
      </w:r>
      <w:r w:rsidRPr="00AB2BE1">
        <w:rPr>
          <w:i/>
          <w:iCs/>
        </w:rPr>
        <w:t>poor image</w:t>
      </w:r>
      <w:r w:rsidRPr="00C54987">
        <w:t xml:space="preserve"> theory.</w:t>
      </w:r>
      <w:r>
        <w:rPr>
          <w:rFonts w:hint="eastAsia"/>
        </w:rPr>
        <w:t xml:space="preserve"> </w:t>
      </w:r>
      <w:r w:rsidR="003A6FDC">
        <w:t>The concept responds to artistic forms that emerge spontaneously within the lost spaces of supermodernity—spaces marked by transience, anonymity, and cultural invisibility, as theorized by Marc Augé.</w:t>
      </w:r>
      <w:r w:rsidR="004362D2">
        <w:rPr>
          <w:rStyle w:val="a5"/>
        </w:rPr>
        <w:footnoteReference w:id="2"/>
      </w:r>
      <w:r w:rsidR="003A6FDC">
        <w:t xml:space="preserve"> Telfer Subway, a utilitarian underpass defined more by movement than memory, exemplifies such a site. The framework also draws from Hito Steyerl’s notion of the </w:t>
      </w:r>
      <w:r w:rsidR="003A6FDC" w:rsidRPr="00783AED">
        <w:rPr>
          <w:i/>
          <w:iCs/>
        </w:rPr>
        <w:t>poor image</w:t>
      </w:r>
      <w:r w:rsidR="003A6FDC">
        <w:t>, embracing low-resolution, widely circulated, and degraded visual content.</w:t>
      </w:r>
      <w:r w:rsidR="00661D73">
        <w:rPr>
          <w:rStyle w:val="a5"/>
        </w:rPr>
        <w:footnoteReference w:id="3"/>
      </w:r>
    </w:p>
    <w:p w14:paraId="04A650A1" w14:textId="77777777" w:rsidR="003E308B" w:rsidRDefault="003E308B" w:rsidP="003A6FDC">
      <w:pPr>
        <w:jc w:val="both"/>
      </w:pPr>
    </w:p>
    <w:p w14:paraId="0EF40C0A" w14:textId="3156CF38" w:rsidR="0037787A" w:rsidRPr="00B13200" w:rsidRDefault="003A6FDC" w:rsidP="00B13200">
      <w:pPr>
        <w:jc w:val="both"/>
      </w:pPr>
      <w:r>
        <w:t>Ghost Art refers to a range of ephemeral, informal, and unauthorized artistic practices that resist institutional frameworks and surface briefly in the margins of the urban landscape. Nomadic and unclassifiable, this form of art navigates between visual culture and social structure, challenging hierarchies of visibility, authorship, and aesthetic legitimacy. It operates as a resistance to institutional control, artistic tradition, and formal aesthetics, occupying the spectral zones between disappearance and exposure</w:t>
      </w:r>
      <w:r w:rsidR="00145B03">
        <w:t>.</w:t>
      </w:r>
    </w:p>
    <w:p w14:paraId="5EE40701" w14:textId="0E60F8CE" w:rsidR="00773665" w:rsidRDefault="00773665" w:rsidP="00773665">
      <w:pPr>
        <w:jc w:val="both"/>
      </w:pPr>
      <w:r>
        <w:lastRenderedPageBreak/>
        <w:t xml:space="preserve">The exhibition </w:t>
      </w:r>
      <w:r w:rsidRPr="006B56C9">
        <w:rPr>
          <w:highlight w:val="yellow"/>
        </w:rPr>
        <w:t xml:space="preserve">features </w:t>
      </w:r>
      <w:r w:rsidR="00B427FE" w:rsidRPr="006B56C9">
        <w:rPr>
          <w:highlight w:val="yellow"/>
        </w:rPr>
        <w:t>art</w:t>
      </w:r>
      <w:r w:rsidRPr="006B56C9">
        <w:rPr>
          <w:highlight w:val="yellow"/>
        </w:rPr>
        <w:t>works</w:t>
      </w:r>
      <w:r>
        <w:t xml:space="preserve"> by </w:t>
      </w:r>
      <w:r w:rsidR="009F52EE" w:rsidRPr="00B427FE">
        <w:rPr>
          <w:rFonts w:hint="eastAsia"/>
          <w:u w:val="single"/>
        </w:rPr>
        <w:t>Maria Arena</w:t>
      </w:r>
      <w:r w:rsidR="009F52EE" w:rsidRPr="00B427FE">
        <w:rPr>
          <w:u w:val="single"/>
        </w:rPr>
        <w:t xml:space="preserve">, </w:t>
      </w:r>
      <w:r w:rsidR="001210F1" w:rsidRPr="00B427FE">
        <w:rPr>
          <w:rFonts w:hint="eastAsia"/>
          <w:u w:val="single"/>
        </w:rPr>
        <w:t>Xu Tan</w:t>
      </w:r>
      <w:r w:rsidR="00084AF4" w:rsidRPr="00B427FE">
        <w:rPr>
          <w:u w:val="single"/>
        </w:rPr>
        <w:t xml:space="preserve">, Toshio Matsumoto, </w:t>
      </w:r>
      <w:r w:rsidR="00A273BE" w:rsidRPr="00B427FE">
        <w:rPr>
          <w:u w:val="single"/>
        </w:rPr>
        <w:t xml:space="preserve">Boris </w:t>
      </w:r>
      <w:proofErr w:type="spellStart"/>
      <w:r w:rsidR="00A273BE" w:rsidRPr="00B427FE">
        <w:rPr>
          <w:u w:val="single"/>
        </w:rPr>
        <w:t>Achour</w:t>
      </w:r>
      <w:proofErr w:type="spellEnd"/>
      <w:r w:rsidR="00A273BE" w:rsidRPr="00B427FE">
        <w:rPr>
          <w:u w:val="single"/>
        </w:rPr>
        <w:t xml:space="preserve">, </w:t>
      </w:r>
      <w:r w:rsidR="00A85BC8" w:rsidRPr="00B427FE">
        <w:rPr>
          <w:rFonts w:hint="eastAsia"/>
          <w:u w:val="single"/>
        </w:rPr>
        <w:t>Hannah Black</w:t>
      </w:r>
      <w:r w:rsidR="00A85BC8" w:rsidRPr="00B427FE">
        <w:rPr>
          <w:u w:val="single"/>
        </w:rPr>
        <w:t xml:space="preserve">, </w:t>
      </w:r>
      <w:r w:rsidR="00DB2709" w:rsidRPr="00B427FE">
        <w:rPr>
          <w:u w:val="single"/>
        </w:rPr>
        <w:t xml:space="preserve">Elaine Sturtevant, </w:t>
      </w:r>
      <w:r w:rsidR="00B427FE" w:rsidRPr="00B427FE">
        <w:rPr>
          <w:u w:val="single"/>
        </w:rPr>
        <w:t>Jesse Darling and The Diggers</w:t>
      </w:r>
      <w:r>
        <w:t xml:space="preserve"> that embody Ghost Art and respond directly to the spatial and material conditions of Telfer Subway. </w:t>
      </w:r>
      <w:r w:rsidR="003934B0" w:rsidRPr="003934B0">
        <w:t>These include experimental film and video, underground publications, and installat</w:t>
      </w:r>
      <w:r w:rsidR="00622174">
        <w:rPr>
          <w:rFonts w:hint="eastAsia"/>
        </w:rPr>
        <w:t>ion</w:t>
      </w:r>
      <w:r w:rsidR="003934B0" w:rsidRPr="003934B0">
        <w:t xml:space="preserve"> sculptures, which are integrated into the site’s existing textures—damp concrete, residual graffiti, and echoing corridors.</w:t>
      </w:r>
    </w:p>
    <w:p w14:paraId="6CED9012" w14:textId="77777777" w:rsidR="00773665" w:rsidRDefault="00773665" w:rsidP="00773665">
      <w:pPr>
        <w:jc w:val="both"/>
      </w:pPr>
    </w:p>
    <w:p w14:paraId="37E5A333" w14:textId="75725F1C" w:rsidR="00B13200" w:rsidRPr="00773665" w:rsidRDefault="00773665" w:rsidP="00773665">
      <w:pPr>
        <w:jc w:val="both"/>
      </w:pPr>
      <w:r>
        <w:t>Rather than beautifying the space, the works aim to activate its latent visual and acoustic memory, appearing subtly and momentarily. Often camouflaged or only partially visible, these interventions encourage a mode of encounter grounded in accidental discovery rather than passive viewing.</w:t>
      </w:r>
      <w:r>
        <w:rPr>
          <w:rFonts w:hint="eastAsia"/>
        </w:rPr>
        <w:t xml:space="preserve"> </w:t>
      </w:r>
      <w:r>
        <w:t xml:space="preserve">For those attuned to wandering and observing the city—the urban </w:t>
      </w:r>
      <w:proofErr w:type="spellStart"/>
      <w:r w:rsidRPr="006B56C9">
        <w:rPr>
          <w:highlight w:val="yellow"/>
        </w:rPr>
        <w:t>flâneur</w:t>
      </w:r>
      <w:proofErr w:type="spellEnd"/>
      <w:r>
        <w:t xml:space="preserve">—Ghost Art may offer a </w:t>
      </w:r>
      <w:proofErr w:type="gramStart"/>
      <w:r>
        <w:t>fleeting</w:t>
      </w:r>
      <w:proofErr w:type="gramEnd"/>
      <w:r>
        <w:t xml:space="preserve"> yet intimate aesthetic experience embedded in the everyday.</w:t>
      </w:r>
      <w:r w:rsidR="009131BA">
        <w:rPr>
          <w:rStyle w:val="a5"/>
        </w:rPr>
        <w:footnoteReference w:id="4"/>
      </w:r>
    </w:p>
    <w:bookmarkEnd w:id="0"/>
    <w:bookmarkEnd w:id="1"/>
    <w:bookmarkEnd w:id="2"/>
    <w:p w14:paraId="36BB4709" w14:textId="77777777" w:rsidR="00524884" w:rsidRPr="00182880" w:rsidRDefault="00524884"/>
    <w:sectPr w:rsidR="00524884" w:rsidRPr="001828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36822" w14:textId="77777777" w:rsidR="00097AE3" w:rsidRDefault="00097AE3" w:rsidP="00417C7E">
      <w:pPr>
        <w:spacing w:after="0" w:line="240" w:lineRule="auto"/>
      </w:pPr>
      <w:r>
        <w:separator/>
      </w:r>
    </w:p>
  </w:endnote>
  <w:endnote w:type="continuationSeparator" w:id="0">
    <w:p w14:paraId="01BC0403" w14:textId="77777777" w:rsidR="00097AE3" w:rsidRDefault="00097AE3" w:rsidP="0041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9429E" w14:textId="77777777" w:rsidR="00097AE3" w:rsidRDefault="00097AE3" w:rsidP="00417C7E">
      <w:pPr>
        <w:spacing w:after="0" w:line="240" w:lineRule="auto"/>
      </w:pPr>
      <w:r>
        <w:separator/>
      </w:r>
    </w:p>
  </w:footnote>
  <w:footnote w:type="continuationSeparator" w:id="0">
    <w:p w14:paraId="4116A84D" w14:textId="77777777" w:rsidR="00097AE3" w:rsidRDefault="00097AE3" w:rsidP="00417C7E">
      <w:pPr>
        <w:spacing w:after="0" w:line="240" w:lineRule="auto"/>
      </w:pPr>
      <w:r>
        <w:continuationSeparator/>
      </w:r>
    </w:p>
  </w:footnote>
  <w:footnote w:id="1">
    <w:p w14:paraId="0362544F" w14:textId="1C137916" w:rsidR="00417C7E" w:rsidRPr="00417C7E" w:rsidRDefault="00417C7E">
      <w:pPr>
        <w:pStyle w:val="a3"/>
        <w:rPr>
          <w:lang w:val="en-GB"/>
        </w:rPr>
      </w:pPr>
      <w:r>
        <w:rPr>
          <w:rStyle w:val="a5"/>
        </w:rPr>
        <w:footnoteRef/>
      </w:r>
      <w:r>
        <w:t xml:space="preserve"> </w:t>
      </w:r>
      <w:r>
        <w:fldChar w:fldCharType="begin"/>
      </w:r>
      <w:r w:rsidR="008E1115">
        <w:instrText xml:space="preserve"> ADDIN ZOTERO_ITEM CSL_CITATION {"citationID":"jaHiZOdZ","properties":{"formattedCitation":"Ezra Pound, {\\i{}Personae: The Shorter Poems of Ezra Pound} (London: Faber &amp; Faber, 2001).","plainCitation":"Ezra Pound, Personae: The Shorter Poems of Ezra Pound (London: Faber &amp; Faber, 2001).","noteIndex":1},"citationItems":[{"id":701,"uris":["http://zotero.org/users/15201463/items/DZBA5ZMJ"],"itemData":{"id":701,"type":"book","abstract":"Personae: The Shorter Poems of Ezra Pound, one of the texts upon which modernism was founded, displays some of the classic poems of the twentieth century.","event-place":"London","ISBN":"978-0-571-20657-5","language":"en","publisher":"Faber &amp; Faber","publisher-place":"London","title":"Personae: The Shorter Poems of Ezra Pound","author":[{"family":"Pound","given":"Ezra"}],"accessed":{"date-parts":[["2025",3,17]]},"issued":{"date-parts":[["2001",4,9]]}}}],"schema":"https://github.com/citation-style-language/schema/raw/master/csl-citation.json"} </w:instrText>
      </w:r>
      <w:r>
        <w:fldChar w:fldCharType="separate"/>
      </w:r>
      <w:r w:rsidR="008E1115" w:rsidRPr="008E1115">
        <w:rPr>
          <w:rFonts w:ascii="DengXian" w:eastAsia="DengXian" w:cs="Times New Roman"/>
          <w:kern w:val="0"/>
        </w:rPr>
        <w:t xml:space="preserve">Ezra Pound, </w:t>
      </w:r>
      <w:r w:rsidR="008E1115" w:rsidRPr="008E1115">
        <w:rPr>
          <w:rFonts w:ascii="DengXian" w:eastAsia="DengXian" w:cs="Times New Roman"/>
          <w:i/>
          <w:iCs/>
          <w:kern w:val="0"/>
        </w:rPr>
        <w:t>Personae: The Shorter Poems of Ezra Pound</w:t>
      </w:r>
      <w:r w:rsidR="008E1115" w:rsidRPr="008E1115">
        <w:rPr>
          <w:rFonts w:ascii="DengXian" w:eastAsia="DengXian" w:cs="Times New Roman"/>
          <w:kern w:val="0"/>
        </w:rPr>
        <w:t xml:space="preserve"> (London: Faber &amp; Faber, 2001).</w:t>
      </w:r>
      <w:r>
        <w:fldChar w:fldCharType="end"/>
      </w:r>
    </w:p>
  </w:footnote>
  <w:footnote w:id="2">
    <w:p w14:paraId="0BF9A45E" w14:textId="2D6C2BE6" w:rsidR="004362D2" w:rsidRPr="002F5B92" w:rsidRDefault="004362D2" w:rsidP="004362D2">
      <w:pPr>
        <w:pStyle w:val="a3"/>
        <w:rPr>
          <w:lang w:val="en-GB"/>
        </w:rPr>
      </w:pPr>
      <w:r>
        <w:rPr>
          <w:rStyle w:val="a5"/>
        </w:rPr>
        <w:footnoteRef/>
      </w:r>
      <w:r>
        <w:t xml:space="preserve"> </w:t>
      </w:r>
      <w:r>
        <w:fldChar w:fldCharType="begin"/>
      </w:r>
      <w:r w:rsidR="00661D73">
        <w:instrText xml:space="preserve"> ADDIN ZOTERO_ITEM CSL_CITATION {"citationID":"EGG3qzQ6","properties":{"formattedCitation":"Marc Aug\\uc0\\u233{}, \\uc0\\u8216{}From Places to Non-Places\\uc0\\u8217{} (United Kingdom: Verso, 2009).","plainCitation":"Marc Augé, ‘From Places to Non-Places</w:instrText>
      </w:r>
      <w:r w:rsidR="00661D73">
        <w:rPr>
          <w:rFonts w:hint="eastAsia"/>
        </w:rPr>
        <w:instrText>’</w:instrText>
      </w:r>
      <w:r w:rsidR="00661D73">
        <w:instrText xml:space="preserve"> (United Kingdom: Verso, 2009).","noteIndex":2},"citationItems":[{"id":535,"uris":["http://zotero.org/users/15201463/items/LVMC9WLU"],"itemData":{"id":535,"type":"chapter","event-place":"United Kingdom","ISBN":"1-84467-311-1","publisher":"Verso","publisher-place":"United Kingdom","title":"From Places to Non-Places","author":[{"family":"Augé","given":"Marc"}],"issued":{"date-parts":[["2009"]]}}}],"schema":"https://github.com/citation-style-language/schema/raw/master/csl-citation.json"} </w:instrText>
      </w:r>
      <w:r>
        <w:fldChar w:fldCharType="separate"/>
      </w:r>
      <w:r w:rsidRPr="004B43F0">
        <w:rPr>
          <w:rFonts w:ascii="DengXian" w:eastAsia="DengXian" w:cs="Times New Roman"/>
          <w:kern w:val="0"/>
        </w:rPr>
        <w:t>Marc Augé, ‘From Places to Non-Places’ (United Kingdom: Verso, 2009).</w:t>
      </w:r>
      <w:r>
        <w:fldChar w:fldCharType="end"/>
      </w:r>
    </w:p>
  </w:footnote>
  <w:footnote w:id="3">
    <w:p w14:paraId="39BE185D" w14:textId="15E611FE" w:rsidR="00661D73" w:rsidRDefault="00661D73">
      <w:pPr>
        <w:pStyle w:val="a3"/>
      </w:pPr>
      <w:r>
        <w:rPr>
          <w:rStyle w:val="a5"/>
        </w:rPr>
        <w:footnoteRef/>
      </w:r>
      <w:r>
        <w:t xml:space="preserve"> </w:t>
      </w:r>
      <w:r>
        <w:fldChar w:fldCharType="begin"/>
      </w:r>
      <w:r>
        <w:instrText xml:space="preserve"> ADDIN ZOTERO_ITEM CSL_CITATION {"citationID":"S3LqF0BZ","properties":{"formattedCitation":"Hito Steyerl, \\uc0\\u8216{}In Defense of the Poor Image\\uc0\\u8217{}, {\\i{}E - Flux Journal}, no. Issue #10 (2009), https://www.e-flux.com/journal/10/61362/in-defense-of-the-poor-image/.","plainCitation":"Hito Steyerl, ‘In Defense of the Poor Image’, E - Flux Journal, no. Issue #10 (2009), https://www.e-flux.com/journal/10/61362/in-defense-of-the-poor-image/.","noteIndex":3},"citationItems":[{"id":549,"uris":["http://zotero.org/users/15201463/items/NG3IW6YQ"],"itemData":{"id":549,"type":"article-journal","container-title":"e - flux Journal","issue":"Issue #10","language":"en","title":"In Defense of the Poor Image","URL":"https://www.e-flux.com/journal/10/61362/in-defense-of-the-poor-image/","author":[{"family":"Steyerl","given":"Hito"}],"accessed":{"date-parts":[["2025",2,9]]},"issued":{"date-parts":[["2009"]]}}}],"schema":"https://github.com/citation-style-language/schema/raw/master/csl-citation.json"} </w:instrText>
      </w:r>
      <w:r>
        <w:fldChar w:fldCharType="separate"/>
      </w:r>
      <w:r w:rsidRPr="00661D73">
        <w:rPr>
          <w:rFonts w:ascii="DengXian" w:eastAsia="DengXian" w:cs="Times New Roman"/>
          <w:kern w:val="0"/>
        </w:rPr>
        <w:t xml:space="preserve">Hito Steyerl, ‘In Defense of the Poor Image’, </w:t>
      </w:r>
      <w:r w:rsidRPr="00661D73">
        <w:rPr>
          <w:rFonts w:ascii="DengXian" w:eastAsia="DengXian" w:cs="Times New Roman"/>
          <w:i/>
          <w:iCs/>
          <w:kern w:val="0"/>
        </w:rPr>
        <w:t>E - Flux Journal</w:t>
      </w:r>
      <w:r w:rsidRPr="00661D73">
        <w:rPr>
          <w:rFonts w:ascii="DengXian" w:eastAsia="DengXian" w:cs="Times New Roman"/>
          <w:kern w:val="0"/>
        </w:rPr>
        <w:t>, no. Issue #10 (2009), https://www.e-flux.com/journal/10/61362/in-defense-of-the-poor-image/.</w:t>
      </w:r>
      <w:r>
        <w:fldChar w:fldCharType="end"/>
      </w:r>
    </w:p>
  </w:footnote>
  <w:footnote w:id="4">
    <w:p w14:paraId="3FB7BBE5" w14:textId="0487CEAC" w:rsidR="009131BA" w:rsidRDefault="009131BA">
      <w:pPr>
        <w:pStyle w:val="a3"/>
      </w:pPr>
      <w:r>
        <w:rPr>
          <w:rStyle w:val="a5"/>
        </w:rPr>
        <w:footnoteRef/>
      </w:r>
      <w:r>
        <w:t xml:space="preserve"> </w:t>
      </w:r>
      <w:r>
        <w:fldChar w:fldCharType="begin"/>
      </w:r>
      <w:r w:rsidR="000723C6">
        <w:instrText xml:space="preserve"> ADDIN ZOTERO_ITEM CSL_CITATION {"citationID":"BmsNbIDL","properties":{"formattedCitation":"Walter Benjamin and Rolf. Tiedemann, {\\i{}The Arcades Project} (Cambridge, Mass: Belknap Press, 1999); Walter Benjamin, {\\i{}The Work of Art in the Age of Mechanical Reproduction} (Place of publication not identified: Prism Key Press, 2010).","plainCitation":"Walter Benjamin and Rolf. Tiedemann, The Arcades Project (Cambridge, Mass: Belknap Press, 1999); Walter Benjamin, The Work of Art in the Age of Mechanical Reproduction (Place of publication not identified: Prism Key Press, 2010).","noteIndex":4},"citationItems":[{"id":713,"uris":["http://zotero.org/users/15201463/items/8RYRWXN4"],"itemData":{"id":713,"type":"book","event-place":"Cambridge, Mass","ISBN":"0-674-04326-X","publisher":"Belknap Press","publisher-place":"Cambridge, Mass","title":"The arcades project","author":[{"family":"Benjamin","given":"Walter"},{"family":"Tiedemann","given":"Rolf."}],"issued":{"date-parts":[["1999"]]}}},{"id":716,"uris":["http://zotero.org/users/15201463/items/P5PB253G"],"itemData":{"id":716,"type":"book","event-place":"Place of publication not identified","ISBN":"978-1-4537-2248-0","publisher":"Prism Key Press","publisher-place":"Place of publication not identified","title":"The work of art in the age of mechanical reproduction","author":[{"family":"Benjamin","given":"Walter"}],"issued":{"date-parts":[["2010"]]}}}],"schema":"https://github.com/citation-style-language/schema/raw/master/csl-citation.json"} </w:instrText>
      </w:r>
      <w:r>
        <w:fldChar w:fldCharType="separate"/>
      </w:r>
      <w:r w:rsidR="000723C6" w:rsidRPr="000723C6">
        <w:rPr>
          <w:rFonts w:ascii="DengXian" w:eastAsia="DengXian" w:cs="Times New Roman"/>
          <w:kern w:val="0"/>
        </w:rPr>
        <w:t xml:space="preserve">Walter Benjamin and Rolf. Tiedemann, </w:t>
      </w:r>
      <w:r w:rsidR="000723C6" w:rsidRPr="000723C6">
        <w:rPr>
          <w:rFonts w:ascii="DengXian" w:eastAsia="DengXian" w:cs="Times New Roman"/>
          <w:i/>
          <w:iCs/>
          <w:kern w:val="0"/>
        </w:rPr>
        <w:t>The Arcades Project</w:t>
      </w:r>
      <w:r w:rsidR="000723C6" w:rsidRPr="000723C6">
        <w:rPr>
          <w:rFonts w:ascii="DengXian" w:eastAsia="DengXian" w:cs="Times New Roman"/>
          <w:kern w:val="0"/>
        </w:rPr>
        <w:t xml:space="preserve"> (Cambridge, Mass: Belknap Press, 1999); Walter Benjamin, </w:t>
      </w:r>
      <w:r w:rsidR="000723C6" w:rsidRPr="000723C6">
        <w:rPr>
          <w:rFonts w:ascii="DengXian" w:eastAsia="DengXian" w:cs="Times New Roman"/>
          <w:i/>
          <w:iCs/>
          <w:kern w:val="0"/>
        </w:rPr>
        <w:t>The Work of Art in the Age of Mechanical Reproduction</w:t>
      </w:r>
      <w:r w:rsidR="000723C6" w:rsidRPr="000723C6">
        <w:rPr>
          <w:rFonts w:ascii="DengXian" w:eastAsia="DengXian" w:cs="Times New Roman"/>
          <w:kern w:val="0"/>
        </w:rPr>
        <w:t xml:space="preserve"> (Place of publication not identified: Prism Key Press, 2010).</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80"/>
    <w:rsid w:val="00066CEC"/>
    <w:rsid w:val="000723C6"/>
    <w:rsid w:val="00084AF4"/>
    <w:rsid w:val="00097AE3"/>
    <w:rsid w:val="00107A9A"/>
    <w:rsid w:val="001210F1"/>
    <w:rsid w:val="00125721"/>
    <w:rsid w:val="00145B03"/>
    <w:rsid w:val="00165FCB"/>
    <w:rsid w:val="00175536"/>
    <w:rsid w:val="00182880"/>
    <w:rsid w:val="001A6FCA"/>
    <w:rsid w:val="001C45E8"/>
    <w:rsid w:val="001D0767"/>
    <w:rsid w:val="002A15C3"/>
    <w:rsid w:val="002F5B92"/>
    <w:rsid w:val="00311C80"/>
    <w:rsid w:val="00377874"/>
    <w:rsid w:val="0037787A"/>
    <w:rsid w:val="003934B0"/>
    <w:rsid w:val="003A6FDC"/>
    <w:rsid w:val="003E308B"/>
    <w:rsid w:val="003F45A6"/>
    <w:rsid w:val="00417C7E"/>
    <w:rsid w:val="00420C65"/>
    <w:rsid w:val="00421857"/>
    <w:rsid w:val="00431C17"/>
    <w:rsid w:val="00432DD3"/>
    <w:rsid w:val="004362D2"/>
    <w:rsid w:val="004B43F0"/>
    <w:rsid w:val="00524884"/>
    <w:rsid w:val="00527F0F"/>
    <w:rsid w:val="00581391"/>
    <w:rsid w:val="00593B8C"/>
    <w:rsid w:val="00611207"/>
    <w:rsid w:val="00622174"/>
    <w:rsid w:val="00652EBE"/>
    <w:rsid w:val="00661D73"/>
    <w:rsid w:val="00670504"/>
    <w:rsid w:val="006A5D11"/>
    <w:rsid w:val="006B56C9"/>
    <w:rsid w:val="00716AA1"/>
    <w:rsid w:val="00773665"/>
    <w:rsid w:val="00780B66"/>
    <w:rsid w:val="00783AED"/>
    <w:rsid w:val="007C08A7"/>
    <w:rsid w:val="00805AAB"/>
    <w:rsid w:val="00835049"/>
    <w:rsid w:val="00846C07"/>
    <w:rsid w:val="008E1115"/>
    <w:rsid w:val="00900D2B"/>
    <w:rsid w:val="009131BA"/>
    <w:rsid w:val="00923647"/>
    <w:rsid w:val="009F52EE"/>
    <w:rsid w:val="00A00E44"/>
    <w:rsid w:val="00A12259"/>
    <w:rsid w:val="00A273BE"/>
    <w:rsid w:val="00A850CA"/>
    <w:rsid w:val="00A85BC8"/>
    <w:rsid w:val="00AB2BE1"/>
    <w:rsid w:val="00B13200"/>
    <w:rsid w:val="00B427FE"/>
    <w:rsid w:val="00B905C4"/>
    <w:rsid w:val="00BE0F70"/>
    <w:rsid w:val="00C416D4"/>
    <w:rsid w:val="00C54987"/>
    <w:rsid w:val="00C70373"/>
    <w:rsid w:val="00C844DC"/>
    <w:rsid w:val="00D30F8D"/>
    <w:rsid w:val="00D40191"/>
    <w:rsid w:val="00D625B5"/>
    <w:rsid w:val="00DB2709"/>
    <w:rsid w:val="00DF1D74"/>
    <w:rsid w:val="00E86038"/>
    <w:rsid w:val="00EC3590"/>
    <w:rsid w:val="00F1032D"/>
    <w:rsid w:val="00F1531F"/>
    <w:rsid w:val="00F43C1B"/>
    <w:rsid w:val="00F477E3"/>
    <w:rsid w:val="00F5056B"/>
    <w:rsid w:val="00F9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CE5F"/>
  <w15:chartTrackingRefBased/>
  <w15:docId w15:val="{D4A3B5AF-1C24-1944-861E-7101E5C8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B8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93B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320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B8C"/>
    <w:rPr>
      <w:b/>
      <w:bCs/>
      <w:kern w:val="44"/>
      <w:sz w:val="44"/>
      <w:szCs w:val="44"/>
    </w:rPr>
  </w:style>
  <w:style w:type="character" w:customStyle="1" w:styleId="20">
    <w:name w:val="标题 2 字符"/>
    <w:basedOn w:val="a0"/>
    <w:link w:val="2"/>
    <w:uiPriority w:val="9"/>
    <w:rsid w:val="00593B8C"/>
    <w:rPr>
      <w:rFonts w:asciiTheme="majorHAnsi" w:eastAsiaTheme="majorEastAsia" w:hAnsiTheme="majorHAnsi" w:cstheme="majorBidi"/>
      <w:b/>
      <w:bCs/>
      <w:sz w:val="32"/>
      <w:szCs w:val="32"/>
    </w:rPr>
  </w:style>
  <w:style w:type="paragraph" w:styleId="a3">
    <w:name w:val="footnote text"/>
    <w:basedOn w:val="a"/>
    <w:link w:val="a4"/>
    <w:uiPriority w:val="99"/>
    <w:semiHidden/>
    <w:unhideWhenUsed/>
    <w:rsid w:val="00417C7E"/>
    <w:pPr>
      <w:snapToGrid w:val="0"/>
    </w:pPr>
    <w:rPr>
      <w:sz w:val="18"/>
      <w:szCs w:val="18"/>
    </w:rPr>
  </w:style>
  <w:style w:type="character" w:customStyle="1" w:styleId="a4">
    <w:name w:val="脚注文本 字符"/>
    <w:basedOn w:val="a0"/>
    <w:link w:val="a3"/>
    <w:uiPriority w:val="99"/>
    <w:semiHidden/>
    <w:rsid w:val="00417C7E"/>
    <w:rPr>
      <w:sz w:val="18"/>
      <w:szCs w:val="18"/>
    </w:rPr>
  </w:style>
  <w:style w:type="character" w:styleId="a5">
    <w:name w:val="footnote reference"/>
    <w:basedOn w:val="a0"/>
    <w:uiPriority w:val="99"/>
    <w:semiHidden/>
    <w:unhideWhenUsed/>
    <w:rsid w:val="00417C7E"/>
    <w:rPr>
      <w:vertAlign w:val="superscript"/>
    </w:rPr>
  </w:style>
  <w:style w:type="character" w:customStyle="1" w:styleId="30">
    <w:name w:val="标题 3 字符"/>
    <w:basedOn w:val="a0"/>
    <w:link w:val="3"/>
    <w:uiPriority w:val="9"/>
    <w:semiHidden/>
    <w:rsid w:val="00B13200"/>
    <w:rPr>
      <w:b/>
      <w:bCs/>
      <w:sz w:val="32"/>
      <w:szCs w:val="32"/>
    </w:rPr>
  </w:style>
  <w:style w:type="paragraph" w:styleId="a6">
    <w:name w:val="Bibliography"/>
    <w:basedOn w:val="a"/>
    <w:next w:val="a"/>
    <w:uiPriority w:val="37"/>
    <w:semiHidden/>
    <w:unhideWhenUsed/>
    <w:rsid w:val="00F1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2752">
      <w:bodyDiv w:val="1"/>
      <w:marLeft w:val="0"/>
      <w:marRight w:val="0"/>
      <w:marTop w:val="0"/>
      <w:marBottom w:val="0"/>
      <w:divBdr>
        <w:top w:val="none" w:sz="0" w:space="0" w:color="auto"/>
        <w:left w:val="none" w:sz="0" w:space="0" w:color="auto"/>
        <w:bottom w:val="none" w:sz="0" w:space="0" w:color="auto"/>
        <w:right w:val="none" w:sz="0" w:space="0" w:color="auto"/>
      </w:divBdr>
    </w:div>
    <w:div w:id="308631657">
      <w:bodyDiv w:val="1"/>
      <w:marLeft w:val="0"/>
      <w:marRight w:val="0"/>
      <w:marTop w:val="0"/>
      <w:marBottom w:val="0"/>
      <w:divBdr>
        <w:top w:val="none" w:sz="0" w:space="0" w:color="auto"/>
        <w:left w:val="none" w:sz="0" w:space="0" w:color="auto"/>
        <w:bottom w:val="none" w:sz="0" w:space="0" w:color="auto"/>
        <w:right w:val="none" w:sz="0" w:space="0" w:color="auto"/>
      </w:divBdr>
      <w:divsChild>
        <w:div w:id="1193877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254519">
      <w:bodyDiv w:val="1"/>
      <w:marLeft w:val="0"/>
      <w:marRight w:val="0"/>
      <w:marTop w:val="0"/>
      <w:marBottom w:val="0"/>
      <w:divBdr>
        <w:top w:val="none" w:sz="0" w:space="0" w:color="auto"/>
        <w:left w:val="none" w:sz="0" w:space="0" w:color="auto"/>
        <w:bottom w:val="none" w:sz="0" w:space="0" w:color="auto"/>
        <w:right w:val="none" w:sz="0" w:space="0" w:color="auto"/>
      </w:divBdr>
    </w:div>
    <w:div w:id="421488693">
      <w:bodyDiv w:val="1"/>
      <w:marLeft w:val="0"/>
      <w:marRight w:val="0"/>
      <w:marTop w:val="0"/>
      <w:marBottom w:val="0"/>
      <w:divBdr>
        <w:top w:val="none" w:sz="0" w:space="0" w:color="auto"/>
        <w:left w:val="none" w:sz="0" w:space="0" w:color="auto"/>
        <w:bottom w:val="none" w:sz="0" w:space="0" w:color="auto"/>
        <w:right w:val="none" w:sz="0" w:space="0" w:color="auto"/>
      </w:divBdr>
    </w:div>
    <w:div w:id="435713469">
      <w:bodyDiv w:val="1"/>
      <w:marLeft w:val="0"/>
      <w:marRight w:val="0"/>
      <w:marTop w:val="0"/>
      <w:marBottom w:val="0"/>
      <w:divBdr>
        <w:top w:val="none" w:sz="0" w:space="0" w:color="auto"/>
        <w:left w:val="none" w:sz="0" w:space="0" w:color="auto"/>
        <w:bottom w:val="none" w:sz="0" w:space="0" w:color="auto"/>
        <w:right w:val="none" w:sz="0" w:space="0" w:color="auto"/>
      </w:divBdr>
    </w:div>
    <w:div w:id="486554185">
      <w:bodyDiv w:val="1"/>
      <w:marLeft w:val="0"/>
      <w:marRight w:val="0"/>
      <w:marTop w:val="0"/>
      <w:marBottom w:val="0"/>
      <w:divBdr>
        <w:top w:val="none" w:sz="0" w:space="0" w:color="auto"/>
        <w:left w:val="none" w:sz="0" w:space="0" w:color="auto"/>
        <w:bottom w:val="none" w:sz="0" w:space="0" w:color="auto"/>
        <w:right w:val="none" w:sz="0" w:space="0" w:color="auto"/>
      </w:divBdr>
    </w:div>
    <w:div w:id="586230672">
      <w:bodyDiv w:val="1"/>
      <w:marLeft w:val="0"/>
      <w:marRight w:val="0"/>
      <w:marTop w:val="0"/>
      <w:marBottom w:val="0"/>
      <w:divBdr>
        <w:top w:val="none" w:sz="0" w:space="0" w:color="auto"/>
        <w:left w:val="none" w:sz="0" w:space="0" w:color="auto"/>
        <w:bottom w:val="none" w:sz="0" w:space="0" w:color="auto"/>
        <w:right w:val="none" w:sz="0" w:space="0" w:color="auto"/>
      </w:divBdr>
    </w:div>
    <w:div w:id="615254526">
      <w:bodyDiv w:val="1"/>
      <w:marLeft w:val="0"/>
      <w:marRight w:val="0"/>
      <w:marTop w:val="0"/>
      <w:marBottom w:val="0"/>
      <w:divBdr>
        <w:top w:val="none" w:sz="0" w:space="0" w:color="auto"/>
        <w:left w:val="none" w:sz="0" w:space="0" w:color="auto"/>
        <w:bottom w:val="none" w:sz="0" w:space="0" w:color="auto"/>
        <w:right w:val="none" w:sz="0" w:space="0" w:color="auto"/>
      </w:divBdr>
    </w:div>
    <w:div w:id="867371189">
      <w:bodyDiv w:val="1"/>
      <w:marLeft w:val="0"/>
      <w:marRight w:val="0"/>
      <w:marTop w:val="0"/>
      <w:marBottom w:val="0"/>
      <w:divBdr>
        <w:top w:val="none" w:sz="0" w:space="0" w:color="auto"/>
        <w:left w:val="none" w:sz="0" w:space="0" w:color="auto"/>
        <w:bottom w:val="none" w:sz="0" w:space="0" w:color="auto"/>
        <w:right w:val="none" w:sz="0" w:space="0" w:color="auto"/>
      </w:divBdr>
    </w:div>
    <w:div w:id="936327582">
      <w:bodyDiv w:val="1"/>
      <w:marLeft w:val="0"/>
      <w:marRight w:val="0"/>
      <w:marTop w:val="0"/>
      <w:marBottom w:val="0"/>
      <w:divBdr>
        <w:top w:val="none" w:sz="0" w:space="0" w:color="auto"/>
        <w:left w:val="none" w:sz="0" w:space="0" w:color="auto"/>
        <w:bottom w:val="none" w:sz="0" w:space="0" w:color="auto"/>
        <w:right w:val="none" w:sz="0" w:space="0" w:color="auto"/>
      </w:divBdr>
    </w:div>
    <w:div w:id="946349197">
      <w:bodyDiv w:val="1"/>
      <w:marLeft w:val="0"/>
      <w:marRight w:val="0"/>
      <w:marTop w:val="0"/>
      <w:marBottom w:val="0"/>
      <w:divBdr>
        <w:top w:val="none" w:sz="0" w:space="0" w:color="auto"/>
        <w:left w:val="none" w:sz="0" w:space="0" w:color="auto"/>
        <w:bottom w:val="none" w:sz="0" w:space="0" w:color="auto"/>
        <w:right w:val="none" w:sz="0" w:space="0" w:color="auto"/>
      </w:divBdr>
    </w:div>
    <w:div w:id="1203396955">
      <w:bodyDiv w:val="1"/>
      <w:marLeft w:val="0"/>
      <w:marRight w:val="0"/>
      <w:marTop w:val="0"/>
      <w:marBottom w:val="0"/>
      <w:divBdr>
        <w:top w:val="none" w:sz="0" w:space="0" w:color="auto"/>
        <w:left w:val="none" w:sz="0" w:space="0" w:color="auto"/>
        <w:bottom w:val="none" w:sz="0" w:space="0" w:color="auto"/>
        <w:right w:val="none" w:sz="0" w:space="0" w:color="auto"/>
      </w:divBdr>
    </w:div>
    <w:div w:id="1548948482">
      <w:bodyDiv w:val="1"/>
      <w:marLeft w:val="0"/>
      <w:marRight w:val="0"/>
      <w:marTop w:val="0"/>
      <w:marBottom w:val="0"/>
      <w:divBdr>
        <w:top w:val="none" w:sz="0" w:space="0" w:color="auto"/>
        <w:left w:val="none" w:sz="0" w:space="0" w:color="auto"/>
        <w:bottom w:val="none" w:sz="0" w:space="0" w:color="auto"/>
        <w:right w:val="none" w:sz="0" w:space="0" w:color="auto"/>
      </w:divBdr>
    </w:div>
    <w:div w:id="1778795962">
      <w:bodyDiv w:val="1"/>
      <w:marLeft w:val="0"/>
      <w:marRight w:val="0"/>
      <w:marTop w:val="0"/>
      <w:marBottom w:val="0"/>
      <w:divBdr>
        <w:top w:val="none" w:sz="0" w:space="0" w:color="auto"/>
        <w:left w:val="none" w:sz="0" w:space="0" w:color="auto"/>
        <w:bottom w:val="none" w:sz="0" w:space="0" w:color="auto"/>
        <w:right w:val="none" w:sz="0" w:space="0" w:color="auto"/>
      </w:divBdr>
    </w:div>
    <w:div w:id="1865945160">
      <w:bodyDiv w:val="1"/>
      <w:marLeft w:val="0"/>
      <w:marRight w:val="0"/>
      <w:marTop w:val="0"/>
      <w:marBottom w:val="0"/>
      <w:divBdr>
        <w:top w:val="none" w:sz="0" w:space="0" w:color="auto"/>
        <w:left w:val="none" w:sz="0" w:space="0" w:color="auto"/>
        <w:bottom w:val="none" w:sz="0" w:space="0" w:color="auto"/>
        <w:right w:val="none" w:sz="0" w:space="0" w:color="auto"/>
      </w:divBdr>
    </w:div>
    <w:div w:id="2024281924">
      <w:bodyDiv w:val="1"/>
      <w:marLeft w:val="0"/>
      <w:marRight w:val="0"/>
      <w:marTop w:val="0"/>
      <w:marBottom w:val="0"/>
      <w:divBdr>
        <w:top w:val="none" w:sz="0" w:space="0" w:color="auto"/>
        <w:left w:val="none" w:sz="0" w:space="0" w:color="auto"/>
        <w:bottom w:val="none" w:sz="0" w:space="0" w:color="auto"/>
        <w:right w:val="none" w:sz="0" w:space="0" w:color="auto"/>
      </w:divBdr>
      <w:divsChild>
        <w:div w:id="167425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uyiran/Library/Group%20Containers/UBF8T346G9.Office/User%20Content.localized/Templates.localized/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392</Words>
  <Characters>2330</Characters>
  <Application>Microsoft Office Word</Application>
  <DocSecurity>0</DocSecurity>
  <Lines>40</Lines>
  <Paragraphs>8</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古怡然</dc:creator>
  <cp:keywords/>
  <dc:description/>
  <cp:lastModifiedBy>古 怡然</cp:lastModifiedBy>
  <cp:revision>3</cp:revision>
  <dcterms:created xsi:type="dcterms:W3CDTF">2025-03-27T20:20:00Z</dcterms:created>
  <dcterms:modified xsi:type="dcterms:W3CDTF">2025-03-28T18:00:00Z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zotero-version="7.0.6"&gt;&lt;session id="VbzoQ2LA"/&gt;&lt;style id="http://www.zotero.org/styles/chicago-fullnote-bibliography" locale="en-GB" hasBibliography="1" bibliographyStyleHasBeenSet="1"/&gt;&lt;prefs&gt;&lt;pref name="fieldType" value="Field"/&gt;&lt;</vt:lpwstr>
  </property>
  <property fmtid="{D5CDD505-2E9C-101B-9397-08002B2CF9AE}" pid="3" name="ZOTERO_PREF_2">
    <vt:lpwstr>pref name="automaticJournalAbbreviations" value="true"/&gt;&lt;pref name="noteType" value="1"/&gt;&lt;/prefs&gt;&lt;/data&gt;</vt:lpwstr>
  </property>
</Properties>
</file>