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3" w:type="dxa"/>
        <w:tblLook w:val="04A0" w:firstRow="1" w:lastRow="0" w:firstColumn="1" w:lastColumn="0" w:noHBand="0" w:noVBand="1"/>
      </w:tblPr>
      <w:tblGrid>
        <w:gridCol w:w="9893"/>
      </w:tblGrid>
      <w:tr w:rsidR="00B0697C" w14:paraId="2100D177" w14:textId="77777777" w:rsidTr="00B0697C">
        <w:tc>
          <w:tcPr>
            <w:tcW w:w="9893" w:type="dxa"/>
            <w:tcBorders>
              <w:top w:val="single" w:sz="24" w:space="0" w:color="1F3864" w:themeColor="accent5" w:themeShade="80"/>
              <w:left w:val="single" w:sz="24" w:space="0" w:color="1F3864" w:themeColor="accent5" w:themeShade="80"/>
              <w:bottom w:val="single" w:sz="24" w:space="0" w:color="1F3864" w:themeColor="accent5" w:themeShade="80"/>
              <w:right w:val="single" w:sz="24" w:space="0" w:color="1F3864" w:themeColor="accent5" w:themeShade="80"/>
            </w:tcBorders>
          </w:tcPr>
          <w:p w14:paraId="58FA3572" w14:textId="69CE4B87" w:rsidR="00B0697C" w:rsidRDefault="00B0697C" w:rsidP="00B0697C">
            <w:pPr>
              <w:jc w:val="right"/>
              <w:rPr>
                <w:rFonts w:ascii="Century Gothic" w:hAnsi="Century Gothic"/>
                <w:b/>
                <w:i/>
                <w:color w:val="00B050"/>
                <w:sz w:val="28"/>
                <w:szCs w:val="28"/>
              </w:rPr>
            </w:pPr>
          </w:p>
          <w:p w14:paraId="3397ED06" w14:textId="156BAEF0" w:rsidR="00695FBF" w:rsidRDefault="00695FBF" w:rsidP="00B0697C">
            <w:pPr>
              <w:jc w:val="center"/>
              <w:rPr>
                <w:rFonts w:ascii="Century Gothic" w:hAnsi="Century Gothic"/>
                <w:b/>
                <w:color w:val="00B050"/>
                <w:sz w:val="32"/>
                <w:szCs w:val="32"/>
              </w:rPr>
            </w:pPr>
            <w:r>
              <w:rPr>
                <w:rFonts w:ascii="Century Gothic" w:hAnsi="Century Gothic"/>
                <w:b/>
                <w:color w:val="00B050"/>
                <w:sz w:val="32"/>
                <w:szCs w:val="32"/>
              </w:rPr>
              <w:t>Useful learning, teaching and assessment research</w:t>
            </w:r>
          </w:p>
          <w:p w14:paraId="74A30B25" w14:textId="3FDF1866" w:rsidR="00B0697C" w:rsidRPr="00B0697C" w:rsidRDefault="00CC4754" w:rsidP="00B0697C">
            <w:pPr>
              <w:jc w:val="center"/>
              <w:rPr>
                <w:rFonts w:ascii="Century Gothic" w:hAnsi="Century Gothic"/>
                <w:b/>
                <w:color w:val="00B050"/>
                <w:sz w:val="32"/>
                <w:szCs w:val="32"/>
              </w:rPr>
            </w:pPr>
            <w:r>
              <w:rPr>
                <w:rFonts w:ascii="Century Gothic" w:hAnsi="Century Gothic"/>
                <w:b/>
                <w:color w:val="00B050"/>
                <w:sz w:val="32"/>
                <w:szCs w:val="32"/>
              </w:rPr>
              <w:t>R</w:t>
            </w:r>
            <w:r w:rsidR="00B0697C" w:rsidRPr="00B0697C">
              <w:rPr>
                <w:rFonts w:ascii="Century Gothic" w:hAnsi="Century Gothic"/>
                <w:b/>
                <w:color w:val="00B050"/>
                <w:sz w:val="32"/>
                <w:szCs w:val="32"/>
              </w:rPr>
              <w:t>esearch</w:t>
            </w:r>
            <w:r>
              <w:rPr>
                <w:rFonts w:ascii="Century Gothic" w:hAnsi="Century Gothic"/>
                <w:b/>
                <w:color w:val="00B050"/>
                <w:sz w:val="32"/>
                <w:szCs w:val="32"/>
              </w:rPr>
              <w:t xml:space="preserve"> Summary 1</w:t>
            </w:r>
            <w:r w:rsidR="00695FBF">
              <w:rPr>
                <w:rFonts w:ascii="Century Gothic" w:hAnsi="Century Gothic"/>
                <w:b/>
                <w:color w:val="00B050"/>
                <w:sz w:val="32"/>
                <w:szCs w:val="32"/>
              </w:rPr>
              <w:t>: Freeman et al (2014)</w:t>
            </w:r>
          </w:p>
          <w:p w14:paraId="71E2B32E" w14:textId="77777777" w:rsidR="00B0697C" w:rsidRDefault="00B0697C" w:rsidP="00F61DC7">
            <w:pPr>
              <w:jc w:val="right"/>
              <w:rPr>
                <w:rFonts w:ascii="Century Gothic" w:hAnsi="Century Gothic"/>
                <w:b/>
                <w:i/>
                <w:color w:val="00B050"/>
                <w:sz w:val="28"/>
                <w:szCs w:val="28"/>
              </w:rPr>
            </w:pPr>
          </w:p>
        </w:tc>
      </w:tr>
    </w:tbl>
    <w:p w14:paraId="4CB219FA" w14:textId="77777777" w:rsidR="00B0697C" w:rsidRPr="00B0697C" w:rsidRDefault="00B0697C">
      <w:pPr>
        <w:rPr>
          <w:b/>
        </w:rPr>
      </w:pPr>
    </w:p>
    <w:p w14:paraId="4F8F1307" w14:textId="5A5D57A8" w:rsidR="008F36AA" w:rsidRPr="00C670C7" w:rsidRDefault="00C670C7">
      <w:pPr>
        <w:rPr>
          <w:b/>
          <w:sz w:val="32"/>
          <w:szCs w:val="32"/>
        </w:rPr>
      </w:pPr>
      <w:r>
        <w:rPr>
          <w:b/>
          <w:sz w:val="32"/>
          <w:szCs w:val="32"/>
        </w:rPr>
        <w:t>Active learning enhances</w:t>
      </w:r>
      <w:r w:rsidR="008F36AA" w:rsidRPr="00C670C7">
        <w:rPr>
          <w:b/>
          <w:sz w:val="32"/>
          <w:szCs w:val="32"/>
        </w:rPr>
        <w:t xml:space="preserve"> student performance</w:t>
      </w:r>
    </w:p>
    <w:p w14:paraId="3ED9C30B" w14:textId="77777777" w:rsidR="00F61DC7" w:rsidRPr="00C670C7" w:rsidRDefault="0062524D" w:rsidP="00C670C7">
      <w:pPr>
        <w:pStyle w:val="NoSpacing"/>
        <w:rPr>
          <w:rFonts w:asciiTheme="minorHAnsi" w:hAnsiTheme="minorHAnsi" w:cstheme="minorHAnsi"/>
          <w:b/>
          <w:sz w:val="24"/>
        </w:rPr>
      </w:pPr>
      <w:r w:rsidRPr="00C670C7">
        <w:rPr>
          <w:rFonts w:asciiTheme="minorHAnsi" w:hAnsiTheme="minorHAnsi" w:cstheme="minorHAnsi"/>
          <w:b/>
          <w:sz w:val="24"/>
        </w:rPr>
        <w:t>Summary</w:t>
      </w:r>
      <w:bookmarkStart w:id="0" w:name="_GoBack"/>
      <w:bookmarkEnd w:id="0"/>
    </w:p>
    <w:p w14:paraId="431C4C1F" w14:textId="77777777" w:rsidR="005D6D9B" w:rsidRDefault="00211664" w:rsidP="005D6D9B">
      <w:pPr>
        <w:spacing w:line="360" w:lineRule="auto"/>
      </w:pPr>
      <w:r>
        <w:t>In this highly cited work, Freeman et al (2014) carried out a meta-analysis of</w:t>
      </w:r>
      <w:r w:rsidR="005D6D9B">
        <w:t xml:space="preserve"> </w:t>
      </w:r>
      <w:r>
        <w:t>225 studies from science, engineering and maths that reported data on undergraduate students’ performance when comparing traditional lecturing and active learning</w:t>
      </w:r>
      <w:r w:rsidR="0062524D">
        <w:t xml:space="preserve">. Active learning varied within the studies but included group problem-solving, worksheets, tutorials during class, electronic voting systems, and workshops. </w:t>
      </w:r>
      <w:r>
        <w:t>They report</w:t>
      </w:r>
      <w:r w:rsidR="0062524D">
        <w:t>ed</w:t>
      </w:r>
      <w:r>
        <w:t xml:space="preserve"> </w:t>
      </w:r>
      <w:r w:rsidR="005D6D9B">
        <w:t>substantial benefits for students</w:t>
      </w:r>
      <w:r>
        <w:t xml:space="preserve"> who experienced active learning</w:t>
      </w:r>
      <w:r w:rsidR="005D6D9B">
        <w:t xml:space="preserve"> in terms of</w:t>
      </w:r>
      <w:r>
        <w:t xml:space="preserve"> enhanced academic performance and lower failure rates</w:t>
      </w:r>
      <w:r w:rsidR="0062524D">
        <w:t xml:space="preserve"> and they extrapolated what this would mean in terms of cost savings for higher education from lower failure rates in STEM subjects if active learning were more widely adopted</w:t>
      </w:r>
      <w:r>
        <w:t>.</w:t>
      </w:r>
      <w:r w:rsidR="0062524D">
        <w:t xml:space="preserve"> M</w:t>
      </w:r>
      <w:r w:rsidR="005D6D9B">
        <w:t>any of the studies the authors examined, only involved active learning for 10-15% of the lecture time, but were still able to demonstrate positive outcomes.</w:t>
      </w:r>
    </w:p>
    <w:p w14:paraId="2FA113E9" w14:textId="77777777" w:rsidR="00F61DC7" w:rsidRPr="00C670C7" w:rsidRDefault="0062524D" w:rsidP="00C670C7">
      <w:pPr>
        <w:pStyle w:val="NoSpacing"/>
        <w:rPr>
          <w:rFonts w:asciiTheme="minorHAnsi" w:hAnsiTheme="minorHAnsi" w:cstheme="minorHAnsi"/>
          <w:b/>
          <w:sz w:val="24"/>
        </w:rPr>
      </w:pPr>
      <w:r w:rsidRPr="00C670C7">
        <w:rPr>
          <w:rFonts w:asciiTheme="minorHAnsi" w:hAnsiTheme="minorHAnsi" w:cstheme="minorHAnsi"/>
          <w:b/>
          <w:sz w:val="24"/>
        </w:rPr>
        <w:t>Key message</w:t>
      </w:r>
    </w:p>
    <w:p w14:paraId="51859288" w14:textId="2729625B" w:rsidR="005D6D9B" w:rsidRDefault="00F61DC7" w:rsidP="005D6D9B">
      <w:pPr>
        <w:spacing w:line="360" w:lineRule="auto"/>
      </w:pPr>
      <w:r>
        <w:t xml:space="preserve">The authors </w:t>
      </w:r>
      <w:r w:rsidR="005D6D9B">
        <w:t>argue that if the</w:t>
      </w:r>
      <w:r>
        <w:t>ir research results, which highlight</w:t>
      </w:r>
      <w:r w:rsidR="005D6D9B">
        <w:t xml:space="preserve"> the positive benefits of active learning</w:t>
      </w:r>
      <w:r>
        <w:t>,</w:t>
      </w:r>
      <w:r w:rsidR="005D6D9B">
        <w:t xml:space="preserve"> had been found in a randomised control trial for a medical treatment, the control condition (lectures with little or no interaction) would be discontinued. </w:t>
      </w:r>
      <w:r w:rsidR="00577A27" w:rsidRPr="00577A27">
        <w:t>They demonstrate that e</w:t>
      </w:r>
      <w:r w:rsidR="00A470EE" w:rsidRPr="00577A27">
        <w:t>ven a small i</w:t>
      </w:r>
      <w:r w:rsidR="00577A27" w:rsidRPr="00577A27">
        <w:t xml:space="preserve">ncrease in </w:t>
      </w:r>
      <w:r w:rsidR="00A470EE" w:rsidRPr="00577A27">
        <w:t>active learning of 10% of the lecture time leads to beneficial outcomes.</w:t>
      </w:r>
    </w:p>
    <w:p w14:paraId="0C5350CA" w14:textId="77777777" w:rsidR="00F61DC7" w:rsidRPr="00C670C7" w:rsidRDefault="004257A1" w:rsidP="00C670C7">
      <w:pPr>
        <w:pStyle w:val="NoSpacing"/>
        <w:rPr>
          <w:rFonts w:asciiTheme="minorHAnsi" w:hAnsiTheme="minorHAnsi" w:cstheme="minorHAnsi"/>
          <w:b/>
          <w:sz w:val="24"/>
        </w:rPr>
      </w:pPr>
      <w:r w:rsidRPr="00C670C7">
        <w:rPr>
          <w:rFonts w:asciiTheme="minorHAnsi" w:hAnsiTheme="minorHAnsi" w:cstheme="minorHAnsi"/>
          <w:b/>
          <w:sz w:val="24"/>
        </w:rPr>
        <w:t>Quote</w:t>
      </w:r>
    </w:p>
    <w:p w14:paraId="734EFFA4" w14:textId="77777777" w:rsidR="00211664" w:rsidRDefault="00211664" w:rsidP="005D6D9B">
      <w:pPr>
        <w:spacing w:line="360" w:lineRule="auto"/>
      </w:pPr>
      <w:r>
        <w:t>“</w:t>
      </w:r>
      <w:r w:rsidR="00C63146">
        <w:t>…</w:t>
      </w:r>
      <w:r w:rsidRPr="00211664">
        <w:t>active learning leads to increases in examination performance that would raise average grad</w:t>
      </w:r>
      <w:r w:rsidR="00C63146">
        <w:t xml:space="preserve">es by a half a </w:t>
      </w:r>
      <w:r w:rsidR="00C63146" w:rsidRPr="00577A27">
        <w:t>letter, and…</w:t>
      </w:r>
      <w:r w:rsidRPr="00577A27">
        <w:t>failure rates under traditional lecturing increase by 55% over the rates observed under active learning.</w:t>
      </w:r>
      <w:r w:rsidRPr="00211664">
        <w:t xml:space="preserve"> The analysis supports theory claiming that calls to increase the number of students receiving STEM degrees could be answered, at least in part, by abandoning traditional lecturing in favor of active learning.</w:t>
      </w:r>
      <w:r>
        <w:t>”</w:t>
      </w:r>
      <w:r w:rsidR="00C63146">
        <w:t xml:space="preserve"> </w:t>
      </w:r>
      <w:r>
        <w:t>p8410</w:t>
      </w:r>
    </w:p>
    <w:p w14:paraId="38B22180" w14:textId="77777777" w:rsidR="00F61DC7" w:rsidRPr="00C670C7" w:rsidRDefault="004257A1" w:rsidP="00C670C7">
      <w:pPr>
        <w:pStyle w:val="NoSpacing"/>
        <w:rPr>
          <w:rFonts w:asciiTheme="minorHAnsi" w:hAnsiTheme="minorHAnsi" w:cstheme="minorHAnsi"/>
          <w:b/>
          <w:sz w:val="24"/>
        </w:rPr>
      </w:pPr>
      <w:r w:rsidRPr="00C670C7">
        <w:rPr>
          <w:rFonts w:asciiTheme="minorHAnsi" w:hAnsiTheme="minorHAnsi" w:cstheme="minorHAnsi"/>
          <w:b/>
          <w:sz w:val="24"/>
        </w:rPr>
        <w:t>Provocative question</w:t>
      </w:r>
    </w:p>
    <w:p w14:paraId="24BC0D22" w14:textId="38CF0BB0" w:rsidR="005D6D9B" w:rsidRDefault="004257A1" w:rsidP="0062524D">
      <w:pPr>
        <w:spacing w:line="360" w:lineRule="auto"/>
      </w:pPr>
      <w:r>
        <w:t>A</w:t>
      </w:r>
      <w:r w:rsidR="005D6D9B">
        <w:t>re w</w:t>
      </w:r>
      <w:r w:rsidR="00C63146">
        <w:t xml:space="preserve">e negligent </w:t>
      </w:r>
      <w:r w:rsidR="005D6D9B">
        <w:t>for withholding a</w:t>
      </w:r>
      <w:r w:rsidR="00C63146">
        <w:t xml:space="preserve"> teaching approach from students that has </w:t>
      </w:r>
      <w:r w:rsidR="005D6D9B">
        <w:t xml:space="preserve">proven to be effective? </w:t>
      </w:r>
    </w:p>
    <w:p w14:paraId="5D509ED3" w14:textId="77777777" w:rsidR="008F36AA" w:rsidRPr="00C670C7" w:rsidRDefault="004257A1" w:rsidP="00C670C7">
      <w:pPr>
        <w:pStyle w:val="NoSpacing"/>
        <w:rPr>
          <w:rFonts w:asciiTheme="minorHAnsi" w:hAnsiTheme="minorHAnsi" w:cstheme="minorHAnsi"/>
          <w:b/>
          <w:sz w:val="24"/>
        </w:rPr>
      </w:pPr>
      <w:r w:rsidRPr="00C670C7">
        <w:rPr>
          <w:rFonts w:asciiTheme="minorHAnsi" w:hAnsiTheme="minorHAnsi" w:cstheme="minorHAnsi"/>
          <w:b/>
          <w:sz w:val="24"/>
        </w:rPr>
        <w:t>Original Source</w:t>
      </w:r>
    </w:p>
    <w:p w14:paraId="78E9FDCF" w14:textId="15368719" w:rsidR="001074A7" w:rsidRDefault="008F36AA">
      <w:r w:rsidRPr="00A470EE">
        <w:rPr>
          <w:b/>
        </w:rPr>
        <w:t xml:space="preserve">Freeman, S., Eddy, S.L., McDonough, M., Smith, M.K., Okoroafor, N., Jordt, H. &amp; Wenderoth, M.P. (2014) Active learning increases student performance in science, engineering, and mathematics. </w:t>
      </w:r>
      <w:r w:rsidRPr="00A470EE">
        <w:rPr>
          <w:b/>
          <w:i/>
        </w:rPr>
        <w:t>Proceedings of the National Association of Sciences</w:t>
      </w:r>
      <w:r w:rsidR="00F61DC7" w:rsidRPr="00A470EE">
        <w:rPr>
          <w:b/>
        </w:rPr>
        <w:t xml:space="preserve"> (PNAS),</w:t>
      </w:r>
      <w:r w:rsidRPr="00A470EE">
        <w:rPr>
          <w:b/>
        </w:rPr>
        <w:t xml:space="preserve"> 111 (23) 8410-8415</w:t>
      </w:r>
      <w:r>
        <w:t>.</w:t>
      </w:r>
    </w:p>
    <w:p w14:paraId="67E98546" w14:textId="77777777" w:rsidR="00C670C7" w:rsidRDefault="00C670C7"/>
    <w:p w14:paraId="43BAE363" w14:textId="43D121A8" w:rsidR="00C63146" w:rsidRPr="00C63146" w:rsidRDefault="00C63146" w:rsidP="00C63146">
      <w:pPr>
        <w:pStyle w:val="NoSpacing"/>
        <w:rPr>
          <w:rFonts w:asciiTheme="minorHAnsi" w:hAnsiTheme="minorHAnsi" w:cstheme="minorHAnsi"/>
          <w:lang w:eastAsia="en-GB"/>
        </w:rPr>
      </w:pPr>
      <w:r w:rsidRPr="00C63146">
        <w:rPr>
          <w:rFonts w:asciiTheme="minorHAnsi" w:hAnsiTheme="minorHAnsi" w:cstheme="minorHAnsi"/>
          <w:lang w:eastAsia="en-GB"/>
        </w:rPr>
        <w:t>© Catherine Bovill, University of Edinburgh 202</w:t>
      </w:r>
      <w:r w:rsidR="00A470EE">
        <w:rPr>
          <w:rFonts w:asciiTheme="minorHAnsi" w:hAnsiTheme="minorHAnsi" w:cstheme="minorHAnsi"/>
          <w:lang w:eastAsia="en-GB"/>
        </w:rPr>
        <w:t>2</w:t>
      </w:r>
    </w:p>
    <w:p w14:paraId="1505F8D2" w14:textId="2AE04BB0" w:rsidR="00C63146" w:rsidRDefault="00C63146" w:rsidP="00C63146">
      <w:pPr>
        <w:pStyle w:val="NoSpacing"/>
        <w:rPr>
          <w:rFonts w:asciiTheme="minorHAnsi" w:hAnsiTheme="minorHAnsi" w:cstheme="minorHAnsi"/>
          <w:lang w:eastAsia="en-GB"/>
        </w:rPr>
      </w:pPr>
      <w:r w:rsidRPr="00C63146">
        <w:rPr>
          <w:rFonts w:asciiTheme="minorHAnsi" w:hAnsiTheme="minorHAnsi" w:cstheme="minorHAnsi"/>
          <w:lang w:eastAsia="en-GB"/>
        </w:rPr>
        <w:t>Published by the University of Edinburgh under a Creative Commons Attribution 4.0 International Licence.</w:t>
      </w:r>
    </w:p>
    <w:p w14:paraId="79C47447" w14:textId="77777777" w:rsidR="00C670C7" w:rsidRPr="00B0697C" w:rsidRDefault="00C670C7" w:rsidP="00C63146">
      <w:pPr>
        <w:pStyle w:val="NoSpacing"/>
        <w:rPr>
          <w:rFonts w:asciiTheme="minorHAnsi" w:hAnsiTheme="minorHAnsi" w:cstheme="minorHAnsi"/>
          <w:lang w:eastAsia="en-GB"/>
        </w:rPr>
      </w:pPr>
    </w:p>
    <w:p w14:paraId="21274DF5" w14:textId="77777777" w:rsidR="00C63146" w:rsidRPr="00544A74" w:rsidRDefault="00695FBF" w:rsidP="00C63146">
      <w:pPr>
        <w:pStyle w:val="NoSpacing"/>
        <w:rPr>
          <w:lang w:eastAsia="en-GB"/>
        </w:rPr>
      </w:pPr>
      <w:hyperlink r:id="rId4" w:history="1">
        <w:r w:rsidR="00C63146">
          <w:rPr>
            <w:rFonts w:ascii="Arial" w:hAnsi="Arial" w:cs="Arial"/>
            <w:color w:val="049CCF"/>
            <w:sz w:val="29"/>
            <w:szCs w:val="29"/>
            <w:shd w:val="clear" w:color="auto" w:fill="FFFFFF"/>
          </w:rPr>
          <w:fldChar w:fldCharType="begin"/>
        </w:r>
        <w:r w:rsidR="00C63146">
          <w:rPr>
            <w:rFonts w:ascii="Arial" w:hAnsi="Arial" w:cs="Arial"/>
            <w:color w:val="049CCF"/>
            <w:sz w:val="29"/>
            <w:szCs w:val="29"/>
            <w:shd w:val="clear" w:color="auto" w:fill="FFFFFF"/>
          </w:rPr>
          <w:instrText xml:space="preserve"> INCLUDEPICTURE "https://i.creativecommons.org/l/by/4.0/88x31.png" \* MERGEFORMATINET </w:instrText>
        </w:r>
        <w:r w:rsidR="00C63146">
          <w:rPr>
            <w:rFonts w:ascii="Arial" w:hAnsi="Arial" w:cs="Arial"/>
            <w:color w:val="049CCF"/>
            <w:sz w:val="29"/>
            <w:szCs w:val="29"/>
            <w:shd w:val="clear" w:color="auto" w:fill="FFFFFF"/>
          </w:rPr>
          <w:fldChar w:fldCharType="separate"/>
        </w:r>
        <w:r w:rsidR="00CB31C7">
          <w:rPr>
            <w:rFonts w:ascii="Arial" w:hAnsi="Arial" w:cs="Arial"/>
            <w:color w:val="049CCF"/>
            <w:sz w:val="29"/>
            <w:szCs w:val="29"/>
            <w:shd w:val="clear" w:color="auto" w:fill="FFFFFF"/>
          </w:rPr>
          <w:fldChar w:fldCharType="begin"/>
        </w:r>
        <w:r w:rsidR="00CB31C7">
          <w:rPr>
            <w:rFonts w:ascii="Arial" w:hAnsi="Arial" w:cs="Arial"/>
            <w:color w:val="049CCF"/>
            <w:sz w:val="29"/>
            <w:szCs w:val="29"/>
            <w:shd w:val="clear" w:color="auto" w:fill="FFFFFF"/>
          </w:rPr>
          <w:instrText xml:space="preserve"> INCLUDEPICTURE  "https://i.creativecommons.org/l/by/4.0/88x31.png" \* MERGEFORMATINET </w:instrText>
        </w:r>
        <w:r w:rsidR="00CB31C7">
          <w:rPr>
            <w:rFonts w:ascii="Arial" w:hAnsi="Arial" w:cs="Arial"/>
            <w:color w:val="049CCF"/>
            <w:sz w:val="29"/>
            <w:szCs w:val="29"/>
            <w:shd w:val="clear" w:color="auto" w:fill="FFFFFF"/>
          </w:rPr>
          <w:fldChar w:fldCharType="separate"/>
        </w:r>
        <w:r w:rsidR="00A470EE">
          <w:rPr>
            <w:rFonts w:ascii="Arial" w:hAnsi="Arial" w:cs="Arial"/>
            <w:color w:val="049CCF"/>
            <w:sz w:val="29"/>
            <w:szCs w:val="29"/>
            <w:shd w:val="clear" w:color="auto" w:fill="FFFFFF"/>
          </w:rPr>
          <w:fldChar w:fldCharType="begin"/>
        </w:r>
        <w:r w:rsidR="00A470EE">
          <w:rPr>
            <w:rFonts w:ascii="Arial" w:hAnsi="Arial" w:cs="Arial"/>
            <w:color w:val="049CCF"/>
            <w:sz w:val="29"/>
            <w:szCs w:val="29"/>
            <w:shd w:val="clear" w:color="auto" w:fill="FFFFFF"/>
          </w:rPr>
          <w:instrText xml:space="preserve"> INCLUDEPICTURE  "https://i.creativecommons.org/l/by/4.0/88x31.png" \* MERGEFORMATINET </w:instrText>
        </w:r>
        <w:r w:rsidR="00A470EE">
          <w:rPr>
            <w:rFonts w:ascii="Arial" w:hAnsi="Arial" w:cs="Arial"/>
            <w:color w:val="049CCF"/>
            <w:sz w:val="29"/>
            <w:szCs w:val="29"/>
            <w:shd w:val="clear" w:color="auto" w:fill="FFFFFF"/>
          </w:rPr>
          <w:fldChar w:fldCharType="separate"/>
        </w:r>
        <w:r w:rsidR="00C670C7">
          <w:rPr>
            <w:rFonts w:ascii="Arial" w:hAnsi="Arial" w:cs="Arial"/>
            <w:color w:val="049CCF"/>
            <w:sz w:val="29"/>
            <w:szCs w:val="29"/>
            <w:shd w:val="clear" w:color="auto" w:fill="FFFFFF"/>
          </w:rPr>
          <w:fldChar w:fldCharType="begin"/>
        </w:r>
        <w:r w:rsidR="00C670C7">
          <w:rPr>
            <w:rFonts w:ascii="Arial" w:hAnsi="Arial" w:cs="Arial"/>
            <w:color w:val="049CCF"/>
            <w:sz w:val="29"/>
            <w:szCs w:val="29"/>
            <w:shd w:val="clear" w:color="auto" w:fill="FFFFFF"/>
          </w:rPr>
          <w:instrText xml:space="preserve"> INCLUDEPICTURE  "https://i.creativecommons.org/l/by/4.0/88x31.png" \* MERGEFORMATINET </w:instrText>
        </w:r>
        <w:r w:rsidR="00C670C7">
          <w:rPr>
            <w:rFonts w:ascii="Arial" w:hAnsi="Arial" w:cs="Arial"/>
            <w:color w:val="049CCF"/>
            <w:sz w:val="29"/>
            <w:szCs w:val="29"/>
            <w:shd w:val="clear" w:color="auto" w:fill="FFFFFF"/>
          </w:rPr>
          <w:fldChar w:fldCharType="separate"/>
        </w:r>
        <w:r w:rsidR="00CC4754">
          <w:rPr>
            <w:rFonts w:ascii="Arial" w:hAnsi="Arial" w:cs="Arial"/>
            <w:color w:val="049CCF"/>
            <w:sz w:val="29"/>
            <w:szCs w:val="29"/>
            <w:shd w:val="clear" w:color="auto" w:fill="FFFFFF"/>
          </w:rPr>
          <w:fldChar w:fldCharType="begin"/>
        </w:r>
        <w:r w:rsidR="00CC4754">
          <w:rPr>
            <w:rFonts w:ascii="Arial" w:hAnsi="Arial" w:cs="Arial"/>
            <w:color w:val="049CCF"/>
            <w:sz w:val="29"/>
            <w:szCs w:val="29"/>
            <w:shd w:val="clear" w:color="auto" w:fill="FFFFFF"/>
          </w:rPr>
          <w:instrText xml:space="preserve"> INCLUDEPICTURE  "https://i.creativecommons.org/l/by/4.0/88x31.png" \* MERGEFORMATINET </w:instrText>
        </w:r>
        <w:r w:rsidR="00CC4754">
          <w:rPr>
            <w:rFonts w:ascii="Arial" w:hAnsi="Arial" w:cs="Arial"/>
            <w:color w:val="049CCF"/>
            <w:sz w:val="29"/>
            <w:szCs w:val="29"/>
            <w:shd w:val="clear" w:color="auto" w:fill="FFFFFF"/>
          </w:rPr>
          <w:fldChar w:fldCharType="separate"/>
        </w:r>
        <w:r>
          <w:rPr>
            <w:rFonts w:ascii="Arial" w:hAnsi="Arial" w:cs="Arial"/>
            <w:color w:val="049CCF"/>
            <w:sz w:val="29"/>
            <w:szCs w:val="29"/>
            <w:shd w:val="clear" w:color="auto" w:fill="FFFFFF"/>
          </w:rPr>
          <w:fldChar w:fldCharType="begin"/>
        </w:r>
        <w:r>
          <w:rPr>
            <w:rFonts w:ascii="Arial" w:hAnsi="Arial" w:cs="Arial"/>
            <w:color w:val="049CCF"/>
            <w:sz w:val="29"/>
            <w:szCs w:val="29"/>
            <w:shd w:val="clear" w:color="auto" w:fill="FFFFFF"/>
          </w:rPr>
          <w:instrText xml:space="preserve"> </w:instrText>
        </w:r>
        <w:r>
          <w:rPr>
            <w:rFonts w:ascii="Arial" w:hAnsi="Arial" w:cs="Arial"/>
            <w:color w:val="049CCF"/>
            <w:sz w:val="29"/>
            <w:szCs w:val="29"/>
            <w:shd w:val="clear" w:color="auto" w:fill="FFFFFF"/>
          </w:rPr>
          <w:instrText>INCLUDEPICTURE  "https://i.creativecommons.org/l/by/4.0/88x31.png" \* MERGEFORMATINET</w:instrText>
        </w:r>
        <w:r>
          <w:rPr>
            <w:rFonts w:ascii="Arial" w:hAnsi="Arial" w:cs="Arial"/>
            <w:color w:val="049CCF"/>
            <w:sz w:val="29"/>
            <w:szCs w:val="29"/>
            <w:shd w:val="clear" w:color="auto" w:fill="FFFFFF"/>
          </w:rPr>
          <w:instrText xml:space="preserve"> </w:instrText>
        </w:r>
        <w:r>
          <w:rPr>
            <w:rFonts w:ascii="Arial" w:hAnsi="Arial" w:cs="Arial"/>
            <w:color w:val="049CCF"/>
            <w:sz w:val="29"/>
            <w:szCs w:val="29"/>
            <w:shd w:val="clear" w:color="auto" w:fill="FFFFFF"/>
          </w:rPr>
          <w:fldChar w:fldCharType="separate"/>
        </w:r>
        <w:r>
          <w:rPr>
            <w:rFonts w:ascii="Arial" w:hAnsi="Arial" w:cs="Arial"/>
            <w:color w:val="049CCF"/>
            <w:sz w:val="29"/>
            <w:szCs w:val="29"/>
            <w:shd w:val="clear" w:color="auto" w:fill="FFFFFF"/>
          </w:rPr>
          <w:pict w14:anchorId="1ADE4B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eative Commons Licence" href="http://creativecommons.org/licenses/by/4.0/" style="width:97pt;height:34pt" o:button="t">
              <v:imagedata r:id="rId5" r:href="rId6"/>
            </v:shape>
          </w:pict>
        </w:r>
        <w:r>
          <w:rPr>
            <w:rFonts w:ascii="Arial" w:hAnsi="Arial" w:cs="Arial"/>
            <w:color w:val="049CCF"/>
            <w:sz w:val="29"/>
            <w:szCs w:val="29"/>
            <w:shd w:val="clear" w:color="auto" w:fill="FFFFFF"/>
          </w:rPr>
          <w:fldChar w:fldCharType="end"/>
        </w:r>
        <w:r w:rsidR="00CC4754">
          <w:rPr>
            <w:rFonts w:ascii="Arial" w:hAnsi="Arial" w:cs="Arial"/>
            <w:color w:val="049CCF"/>
            <w:sz w:val="29"/>
            <w:szCs w:val="29"/>
            <w:shd w:val="clear" w:color="auto" w:fill="FFFFFF"/>
          </w:rPr>
          <w:fldChar w:fldCharType="end"/>
        </w:r>
        <w:r w:rsidR="00C670C7">
          <w:rPr>
            <w:rFonts w:ascii="Arial" w:hAnsi="Arial" w:cs="Arial"/>
            <w:color w:val="049CCF"/>
            <w:sz w:val="29"/>
            <w:szCs w:val="29"/>
            <w:shd w:val="clear" w:color="auto" w:fill="FFFFFF"/>
          </w:rPr>
          <w:fldChar w:fldCharType="end"/>
        </w:r>
        <w:r w:rsidR="00A470EE">
          <w:rPr>
            <w:rFonts w:ascii="Arial" w:hAnsi="Arial" w:cs="Arial"/>
            <w:color w:val="049CCF"/>
            <w:sz w:val="29"/>
            <w:szCs w:val="29"/>
            <w:shd w:val="clear" w:color="auto" w:fill="FFFFFF"/>
          </w:rPr>
          <w:fldChar w:fldCharType="end"/>
        </w:r>
        <w:r w:rsidR="00CB31C7">
          <w:rPr>
            <w:rFonts w:ascii="Arial" w:hAnsi="Arial" w:cs="Arial"/>
            <w:color w:val="049CCF"/>
            <w:sz w:val="29"/>
            <w:szCs w:val="29"/>
            <w:shd w:val="clear" w:color="auto" w:fill="FFFFFF"/>
          </w:rPr>
          <w:fldChar w:fldCharType="end"/>
        </w:r>
        <w:r w:rsidR="00C63146">
          <w:rPr>
            <w:rFonts w:ascii="Arial" w:hAnsi="Arial" w:cs="Arial"/>
            <w:color w:val="049CCF"/>
            <w:sz w:val="29"/>
            <w:szCs w:val="29"/>
            <w:shd w:val="clear" w:color="auto" w:fill="FFFFFF"/>
          </w:rPr>
          <w:fldChar w:fldCharType="end"/>
        </w:r>
      </w:hyperlink>
    </w:p>
    <w:p w14:paraId="6DCE1A19" w14:textId="77777777" w:rsidR="00F61DC7" w:rsidRDefault="00F61DC7" w:rsidP="00C63146"/>
    <w:sectPr w:rsidR="00F61DC7" w:rsidSect="00B0697C">
      <w:pgSz w:w="11906" w:h="16838"/>
      <w:pgMar w:top="567"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charset w:val="00"/>
    <w:family w:val="roman"/>
    <w:pitch w:val="default"/>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AA"/>
    <w:rsid w:val="001074A7"/>
    <w:rsid w:val="00211664"/>
    <w:rsid w:val="00212C59"/>
    <w:rsid w:val="00411629"/>
    <w:rsid w:val="004257A1"/>
    <w:rsid w:val="00441C65"/>
    <w:rsid w:val="00577A27"/>
    <w:rsid w:val="005D6D9B"/>
    <w:rsid w:val="0062524D"/>
    <w:rsid w:val="00695FBF"/>
    <w:rsid w:val="008F36AA"/>
    <w:rsid w:val="00A470EE"/>
    <w:rsid w:val="00B0697C"/>
    <w:rsid w:val="00C63146"/>
    <w:rsid w:val="00C670C7"/>
    <w:rsid w:val="00CB31C7"/>
    <w:rsid w:val="00CC4754"/>
    <w:rsid w:val="00F61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BF4122"/>
  <w15:chartTrackingRefBased/>
  <w15:docId w15:val="{E0683C20-33C5-4BBF-89DD-0B0305DE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C59"/>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3146"/>
    <w:pPr>
      <w:spacing w:after="0" w:line="240" w:lineRule="auto"/>
    </w:pPr>
    <w:rPr>
      <w:rFonts w:ascii="Times Roman" w:eastAsia="ヒラギノ角ゴ Pro W3" w:hAnsi="Times Roman" w:cs="Times New Roman"/>
      <w:color w:val="000000"/>
      <w:szCs w:val="24"/>
    </w:rPr>
  </w:style>
  <w:style w:type="table" w:styleId="TableGrid">
    <w:name w:val="Table Grid"/>
    <w:basedOn w:val="TableNormal"/>
    <w:uiPriority w:val="39"/>
    <w:rsid w:val="00B06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i.creativecommons.org/l/by/4.0/88x31.png" TargetMode="External"/><Relationship Id="rId5" Type="http://schemas.openxmlformats.org/officeDocument/2006/relationships/image" Target="media/image1.png"/><Relationship Id="rId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BOVILL Catherine</dc:creator>
  <cp:keywords/>
  <dc:description/>
  <cp:lastModifiedBy>Catherine Bovill</cp:lastModifiedBy>
  <cp:revision>9</cp:revision>
  <dcterms:created xsi:type="dcterms:W3CDTF">2020-05-15T08:58:00Z</dcterms:created>
  <dcterms:modified xsi:type="dcterms:W3CDTF">2022-11-23T11:30:00Z</dcterms:modified>
</cp:coreProperties>
</file>