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04736D" w14:textId="77777777" w:rsidR="009051FF" w:rsidRPr="000363A0" w:rsidRDefault="009051FF" w:rsidP="000363A0">
      <w:pPr>
        <w:jc w:val="both"/>
        <w:rPr>
          <w:rFonts w:ascii="Aptos" w:hAnsi="Aptos"/>
        </w:rPr>
      </w:pPr>
    </w:p>
    <w:p w14:paraId="50AC80B2" w14:textId="6683F2B4" w:rsidR="009051FF" w:rsidRPr="000363A0" w:rsidRDefault="009051FF" w:rsidP="000363A0">
      <w:pPr>
        <w:pStyle w:val="ListParagraph"/>
        <w:numPr>
          <w:ilvl w:val="0"/>
          <w:numId w:val="1"/>
        </w:numPr>
        <w:jc w:val="both"/>
        <w:rPr>
          <w:rFonts w:ascii="Aptos" w:hAnsi="Aptos"/>
        </w:rPr>
      </w:pPr>
      <w:r w:rsidRPr="000363A0">
        <w:rPr>
          <w:rFonts w:ascii="Aptos" w:hAnsi="Aptos"/>
        </w:rPr>
        <w:t>HAILI WU</w:t>
      </w:r>
    </w:p>
    <w:p w14:paraId="20010E8C" w14:textId="77777777" w:rsidR="009051FF" w:rsidRPr="000363A0" w:rsidRDefault="009051FF" w:rsidP="000363A0">
      <w:pPr>
        <w:jc w:val="both"/>
        <w:rPr>
          <w:rFonts w:ascii="Aptos" w:hAnsi="Aptos"/>
        </w:rPr>
      </w:pPr>
    </w:p>
    <w:p w14:paraId="5C5CF3E7" w14:textId="77777777" w:rsidR="009051FF" w:rsidRPr="000363A0" w:rsidRDefault="009051FF" w:rsidP="000363A0">
      <w:pPr>
        <w:pStyle w:val="Titledocument"/>
        <w:jc w:val="both"/>
        <w:rPr>
          <w:rFonts w:ascii="Aptos" w:hAnsi="Aptos"/>
          <w:b w:val="0"/>
          <w:bCs w:val="0"/>
          <w:szCs w:val="24"/>
        </w:rPr>
      </w:pPr>
      <w:proofErr w:type="spellStart"/>
      <w:r w:rsidRPr="000363A0">
        <w:rPr>
          <w:rFonts w:ascii="Aptos" w:hAnsi="Aptos"/>
          <w:b w:val="0"/>
          <w:bCs w:val="0"/>
          <w:szCs w:val="24"/>
        </w:rPr>
        <w:t>Democratising</w:t>
      </w:r>
      <w:proofErr w:type="spellEnd"/>
      <w:r w:rsidRPr="000363A0">
        <w:rPr>
          <w:rFonts w:ascii="Aptos" w:hAnsi="Aptos"/>
          <w:b w:val="0"/>
          <w:bCs w:val="0"/>
          <w:szCs w:val="24"/>
        </w:rPr>
        <w:t xml:space="preserve"> The Future of Access-based Consumption Through Participatory Approach</w:t>
      </w:r>
    </w:p>
    <w:p w14:paraId="77CA51C7" w14:textId="77777777" w:rsidR="009051FF" w:rsidRPr="000363A0" w:rsidRDefault="009051FF" w:rsidP="000363A0">
      <w:pPr>
        <w:pStyle w:val="ParaContinue"/>
        <w:ind w:firstLine="0"/>
        <w:rPr>
          <w:rFonts w:ascii="Aptos" w:hAnsi="Aptos"/>
          <w:sz w:val="24"/>
        </w:rPr>
      </w:pPr>
    </w:p>
    <w:p w14:paraId="27B025B9" w14:textId="77777777" w:rsidR="009051FF" w:rsidRPr="000363A0" w:rsidRDefault="009051FF" w:rsidP="000363A0">
      <w:pPr>
        <w:pStyle w:val="ParaContinue"/>
        <w:ind w:firstLine="0"/>
        <w:rPr>
          <w:rFonts w:ascii="Aptos" w:hAnsi="Aptos"/>
          <w:sz w:val="24"/>
        </w:rPr>
      </w:pPr>
      <w:r w:rsidRPr="000363A0">
        <w:rPr>
          <w:rFonts w:ascii="Aptos" w:hAnsi="Aptos"/>
          <w:sz w:val="24"/>
        </w:rPr>
        <w:t xml:space="preserve">The sharing of physical goods has been viewed as a promising direction to reduce our environmental impact and optimise available resources, which aligns with the goals of the Circular Economic Framework (CE) and Sustainable human-computer interaction (SCHI) </w:t>
      </w:r>
      <w:r w:rsidRPr="000363A0">
        <w:rPr>
          <w:rFonts w:ascii="Aptos" w:hAnsi="Aptos"/>
          <w:sz w:val="24"/>
        </w:rPr>
        <w:fldChar w:fldCharType="begin"/>
      </w:r>
      <w:r w:rsidRPr="000363A0">
        <w:rPr>
          <w:rFonts w:ascii="Aptos" w:hAnsi="Aptos"/>
          <w:sz w:val="24"/>
        </w:rPr>
        <w:instrText xml:space="preserve"> ADDIN ZOTERO_ITEM CSL_CITATION {"citationID":"NzOmTHbS","properties":{"formattedCitation":"[1], [2], [3], [4]","plainCitation":"[1], [2], [3], [4]","noteIndex":0},"citationItems":[{"id":311,"uris":["http://zotero.org/users/12411779/items/I5XG8DL2","http://zotero.org/users/12411779/items/569JYEAJ"],"itemData":{"id":311,"type":"article-journal","abstract":"This paper presents the perspective that sustainability can and should be a central focus of interaction design-a perspective that is termed Sustainable Interaction Design (SID). As a starting point for a perspective of sustainability, design is defined as an act of choosing among or informing choices of future ways of being. This perspective of sustainability is presented in terms of design values, methods, and reasoning. The paper proposes (i) a rubric for understanding the material effects of particular interaction design cases in terms of forms of use, reuse, and disposal, and (ii) several principles to guide SID. The paper illustrates - with particular examples of design critique for interactive products and appeals to secondary research - how two of these principles may be applied to move the effects of designs from less preferred forms of use to more preferred ones. Finally, a vision for incorporating sustainability into the research and practice of interaction design is described. Copyright 2007 ACM.","container-title":"Conference on Human Factors in Computing Systems - Proceedings","DOI":"10.1145/1240624.1240705","note":"ISBN: 1595935932","page":"503-512","title":"Sustainable interaction design: Invention &amp; disposal, renewal &amp; reuse","author":[{"family":"Blevis","given":"Eli"}],"issued":{"date-parts":[["2007"]]}}},{"id":568,"uris":["http://zotero.org/users/12411779/items/W8U3Q6X3"],"itemData":{"id":568,"type":"article-journal","abstract":"The sharing economy is a new phenomenon considered to stimulate sustainable practices. It is viewed as the synergy between technology, information and marketing that promotes a new culture where customers favor access over ownership enabling them to use resources more efficiently. Therefore, it represents an innovative business model that can act as a potential pathway to sustainable economic development and energy efficiency. However, economic, and ecological impacts of the sharing economy remain controversial and need further investigation. In fact, sharing economy has disrupted the prevailing economic paradigm soliciting questions about the advantages and the risks of this new behavior. This study aims to fill this gap in the literature and quantitatively assesses the potential implications that the sharing economy has on sustainable economic development and energy efficiency. It builds a proxy indicator for the annual level of sharing economy use per country using internet search data from Google Trends. In addition, it uses annual secondary data for a balanced panel of 18 OECD countries for the period 2014–2018 to test the proposed models’ hypotheses. The positive impacts of the sharing economy on sustainable economic development and energy efficiency are supported by the results of the fixed effect regressions with Driscoll-Kraay standard errors. The findings suggest that the sharing economy represents a socio-economic trend that has the potential to stimulate sustainable economic development and energy efficiency. Therefore, they highlight the power of the sharing economy and offer important theoretical and practical implications for researchers, individuals, and policy makers.","container-title":"Journal of Innovation &amp; Knowledge","DOI":"10.1016/j.jik.2020.11.001","ISSN":"2444-569X","issue":"1","journalAbbreviation":"Journal of Innovation &amp; Knowledge","page":"58-68","source":"ScienceDirect","title":"Does sharing economy promote sustainable economic development and energy efficiency? Evidence from OECD countries","title-short":"Does sharing economy promote sustainable economic development and energy efficiency?","volume":"6","author":[{"family":"Dabbous","given":"Amal"},{"family":"Tarhini","given":"Abbas"}],"issued":{"date-parts":[["2021",1,1]]}}},{"id":565,"uris":["http://zotero.org/users/12411779/items/836TMXXV"],"itemData":{"id":565,"type":"article-journal","abstract":"The objective of this study is to review the extant sharing economy (SE) literature. Applying a systematic literature review approach, this study thematically synthesizes the findings of 219 articles on sharing economy. It explores the definitional dilemma, sharing economy as a phenomenon and key theories used in the literature. It analyses the stakeholders and their motivations for participating in SE, which is mainly present in the accommodation and transportation sectors. We discuss various facets of these two sectors. The study shows how SE firms operate with novel business models with unique revenue streams. It synthesizes the challenges that SE faces. This study points out SE’s economic, social, and environmental impacts. It highlights the lack of regulations and policies for SE around the world. Finally, we provide the implications of this work and suggest future research avenues.","container-title":"International Journal of Hospitality Management","DOI":"10.1016/j.ijhm.2020.102470","ISSN":"0278-4319","journalAbbreviation":"International Journal of Hospitality Management","page":"102470","source":"ScienceDirect","title":"Sharing economy: A comprehensive literature review","title-short":"Sharing economy","volume":"87","author":[{"family":"Hossain","given":"Mokter"}],"issued":{"date-parts":[["2020",5,1]]}}},{"id":1789,"uris":["http://zotero.org/users/12411779/items/Z32RFJEU"],"itemData":{"id":1789,"type":"article-journal","abstract":"Most Circular Economy (CE) research to date has focused on supply-side factors such as the design, implementation, and monitoring of Circular business models, with comparatively little attention given to the role consumers and consumer psychology are likely to play in CE transition. A key driver of the CE framework is widespread public engagement in non-ownership or “access-based” consumption. In the absence of legally established property rights, the extent to which consumers experience a subjective sense of ownership over accessed (i.e., rented or shared) goods and services will be important in both understanding and fostering CE development. This paper introduces the construct and theory of psychological ownership (PO), discussing empirical evidence for its role in access-based consumption, primarily consumers’ use of product-service systems (PSSs). Overall, there is reasonable evidence that PSS users can and do develop a sense of psychological ownership for rented items with, by implication, accessed goods and services activating at least one behavioural pathway or “route” to its development. Once attained, PO tends to have a positive—often mediating—impact on users’ perceptions, attitudes, intentions, and behaviour towards rented product-services, with stronger PO having greater influence. A conceptual application of Psychological Ownership Theory to access-based consumption—hence the Circular Economic framework—is forwarded, with potential frustrations to PO development, plus implications for marketers and CE strategists, also discussed. With relevant literature, still sparse various directions for future research are also suggested.","container-title":"Circular Economy and Sustainability","DOI":"10.1007/s43615-021-00041-0","ISSN":"2730-5988","issue":"2","journalAbbreviation":"Circ.Econ.Sust.","language":"en","page":"719-744","source":"Springer Link","title":"Rented But MINE! Application of Psychological Ownership Theory to Access-Based Consumption and the Circular Economy","volume":"1","author":[{"family":"Rogers","given":"Paul"}],"issued":{"date-parts":[["2021",9,1]]}}}],"schema":"https://github.com/citation-style-language/schema/raw/master/csl-citation.json"} </w:instrText>
      </w:r>
      <w:r w:rsidRPr="000363A0">
        <w:rPr>
          <w:rFonts w:ascii="Aptos" w:hAnsi="Aptos"/>
          <w:sz w:val="24"/>
        </w:rPr>
        <w:fldChar w:fldCharType="separate"/>
      </w:r>
      <w:r w:rsidRPr="000363A0">
        <w:rPr>
          <w:rFonts w:ascii="Aptos" w:hAnsi="Aptos"/>
          <w:noProof/>
          <w:sz w:val="24"/>
        </w:rPr>
        <w:t>[1], [2], [3], [4]</w:t>
      </w:r>
      <w:r w:rsidRPr="000363A0">
        <w:rPr>
          <w:rFonts w:ascii="Aptos" w:hAnsi="Aptos"/>
          <w:sz w:val="24"/>
        </w:rPr>
        <w:fldChar w:fldCharType="end"/>
      </w:r>
      <w:r w:rsidRPr="000363A0">
        <w:rPr>
          <w:rFonts w:ascii="Aptos" w:hAnsi="Aptos"/>
          <w:sz w:val="24"/>
        </w:rPr>
        <w:t xml:space="preserve">. These object-sharing experiences are usually framed as Access-Based Consumption (ABC) or Sharing Economy (SE), which refers to the experience of instead buying and owning everyday goods, such as a drill, individuals can now share temporary access to an item without legal ownership </w:t>
      </w:r>
      <w:r w:rsidRPr="000363A0">
        <w:rPr>
          <w:rFonts w:ascii="Aptos" w:hAnsi="Aptos"/>
          <w:sz w:val="24"/>
        </w:rPr>
        <w:fldChar w:fldCharType="begin"/>
      </w:r>
      <w:r w:rsidRPr="000363A0">
        <w:rPr>
          <w:rFonts w:ascii="Aptos" w:hAnsi="Aptos"/>
          <w:sz w:val="24"/>
        </w:rPr>
        <w:instrText xml:space="preserve"> ADDIN ZOTERO_ITEM CSL_CITATION {"citationID":"xVKbdklp","properties":{"formattedCitation":"[5]","plainCitation":"[5]","noteIndex":0},"citationItems":[{"id":79,"uris":["http://zotero.org/users/12411779/items/KTX2F42N","http://zotero.org/users/12411779/items/8LVKH3YX"],"itemData":{"id":79,"type":"article-journal","container-title":"Journal of Consumer Research","DOI":"10.1086/666376","ISSN":"0093-5301","issue":"4","page":"881-898","title":"Access-Based Consumption: The Case of Car Sharing","volume":"39","author":[{"family":"Bardhi","given":"Fleura"},{"family":"Eckhardt","given":"Giana M."}],"issued":{"date-parts":[["2012",12]]}}}],"schema":"https://github.com/citation-style-language/schema/raw/master/csl-citation.json"} </w:instrText>
      </w:r>
      <w:r w:rsidRPr="000363A0">
        <w:rPr>
          <w:rFonts w:ascii="Aptos" w:hAnsi="Aptos"/>
          <w:sz w:val="24"/>
        </w:rPr>
        <w:fldChar w:fldCharType="separate"/>
      </w:r>
      <w:r w:rsidRPr="000363A0">
        <w:rPr>
          <w:rFonts w:ascii="Aptos" w:hAnsi="Aptos"/>
          <w:noProof/>
          <w:sz w:val="24"/>
        </w:rPr>
        <w:t>[5]</w:t>
      </w:r>
      <w:r w:rsidRPr="000363A0">
        <w:rPr>
          <w:rFonts w:ascii="Aptos" w:hAnsi="Aptos"/>
          <w:sz w:val="24"/>
        </w:rPr>
        <w:fldChar w:fldCharType="end"/>
      </w:r>
      <w:r w:rsidRPr="000363A0">
        <w:rPr>
          <w:rFonts w:ascii="Aptos" w:hAnsi="Aptos"/>
          <w:sz w:val="24"/>
        </w:rPr>
        <w:t>.</w:t>
      </w:r>
    </w:p>
    <w:p w14:paraId="2BA3E960" w14:textId="77777777" w:rsidR="009051FF" w:rsidRPr="000363A0" w:rsidRDefault="009051FF" w:rsidP="000363A0">
      <w:pPr>
        <w:pStyle w:val="ParaContinue"/>
        <w:rPr>
          <w:rFonts w:ascii="Aptos" w:hAnsi="Aptos"/>
          <w:sz w:val="24"/>
          <w:lang w:eastAsia="en-US"/>
        </w:rPr>
      </w:pPr>
      <w:r w:rsidRPr="000363A0">
        <w:rPr>
          <w:rFonts w:ascii="Aptos" w:hAnsi="Aptos"/>
          <w:sz w:val="24"/>
        </w:rPr>
        <w:t>Today, many shared resources are available for individuals, from transportation, such as through the Enterprise Car Club</w:t>
      </w:r>
      <w:r w:rsidRPr="000363A0">
        <w:rPr>
          <w:rStyle w:val="FootnoteReference"/>
          <w:rFonts w:ascii="Aptos" w:hAnsi="Aptos"/>
          <w:sz w:val="24"/>
        </w:rPr>
        <w:footnoteReference w:id="1"/>
      </w:r>
      <w:r w:rsidRPr="000363A0">
        <w:rPr>
          <w:rFonts w:ascii="Aptos" w:hAnsi="Aptos"/>
          <w:sz w:val="24"/>
        </w:rPr>
        <w:t>, to everyday objects, for example, through a range of Libraries of Things (</w:t>
      </w:r>
      <w:proofErr w:type="spellStart"/>
      <w:r w:rsidRPr="000363A0">
        <w:rPr>
          <w:rFonts w:ascii="Aptos" w:hAnsi="Aptos"/>
          <w:sz w:val="24"/>
        </w:rPr>
        <w:t>LoTs</w:t>
      </w:r>
      <w:proofErr w:type="spellEnd"/>
      <w:r w:rsidRPr="000363A0">
        <w:rPr>
          <w:rFonts w:ascii="Aptos" w:hAnsi="Aptos"/>
          <w:sz w:val="24"/>
        </w:rPr>
        <w:t xml:space="preserve">) </w:t>
      </w:r>
      <w:r w:rsidRPr="000363A0">
        <w:rPr>
          <w:rStyle w:val="FootnoteReference"/>
          <w:rFonts w:ascii="Aptos" w:hAnsi="Aptos"/>
          <w:sz w:val="24"/>
        </w:rPr>
        <w:footnoteReference w:id="2"/>
      </w:r>
      <w:r w:rsidRPr="000363A0">
        <w:rPr>
          <w:rFonts w:ascii="Aptos" w:hAnsi="Aptos"/>
          <w:sz w:val="24"/>
        </w:rPr>
        <w:t xml:space="preserve">. </w:t>
      </w:r>
    </w:p>
    <w:p w14:paraId="4A3CC012" w14:textId="77777777" w:rsidR="009051FF" w:rsidRPr="000363A0" w:rsidRDefault="009051FF" w:rsidP="000363A0">
      <w:pPr>
        <w:pStyle w:val="ParaContinue"/>
        <w:rPr>
          <w:rFonts w:ascii="Aptos" w:hAnsi="Aptos"/>
          <w:sz w:val="24"/>
        </w:rPr>
      </w:pPr>
      <w:r w:rsidRPr="000363A0">
        <w:rPr>
          <w:rFonts w:ascii="Aptos" w:hAnsi="Aptos"/>
          <w:sz w:val="24"/>
        </w:rPr>
        <w:t xml:space="preserve">There is an ongoing interest in the HCI and design community to explore how to encourage people to participate in ABC (e.g. </w:t>
      </w:r>
      <w:r w:rsidRPr="000363A0">
        <w:rPr>
          <w:rFonts w:ascii="Aptos" w:hAnsi="Aptos"/>
          <w:sz w:val="24"/>
        </w:rPr>
        <w:fldChar w:fldCharType="begin"/>
      </w:r>
      <w:r w:rsidRPr="000363A0">
        <w:rPr>
          <w:rFonts w:ascii="Aptos" w:hAnsi="Aptos"/>
          <w:sz w:val="24"/>
        </w:rPr>
        <w:instrText xml:space="preserve"> ADDIN ZOTERO_ITEM CSL_CITATION {"citationID":"vRyq1W4I","properties":{"formattedCitation":"[7], [8], [9]","plainCitation":"[7], [8], [9]","noteIndex":0},"citationItems":[{"id":519,"uris":["http://zotero.org/users/12411779/items/TH4HTK3F"],"itemData":{"id":519,"type":"article-journal","abstract":"The sharing economy has quickly become a very prominent subject of research in the broader computing literature and the in human--computer interaction (HCI) literature more specifically. When other computing research areas have experienced similarly rapid growth (e.g. human computation, eco-feedback technology), early stage literature reviews have proved useful and influential by identifying trends and gaps in the literature of interest and by providing key directions for short- and long-term future work. In this paper, we seek to provide the same benefits with respect to computing research on the sharing economy. Specifically, following the suggested approach of prior computing literature reviews, we conducted a systematic review of sharing economy articles published in the Association for Computing Machinery Digital Library to investigate the state of sharing economy research in computing. We performed this review with two simultaneous foci: a broad focus toward the computing literature more generally and a narrow focus specifically on HCI literature. We collected a total of 112 sharing economy articles published between 2008 and 2017 and through our analysis of these papers, we make two core contributions: (1) an understanding of the computing community's contributions to our knowledge about the sharing economy, and specifically the role of the HCI community in these contributions (i.e.what has been done) and (2) a discussion of under-explored and unexplored aspects of the sharing economy that can serve as a partial research agenda moving forward (i.e.what is next to do).","container-title":"Proceedings of the ACM on Human-Computer Interaction","DOI":"10.1145/3134673","issue":"CSCW","journalAbbreviation":"Proc. ACM Hum.-Comput. Interact.","page":"38:1–38:26","source":"ACM Digital Library","title":"The Sharing Economy in Computing: A Systematic Literature Review","title-short":"The Sharing Economy in Computing","volume":"1","author":[{"family":"Dillahunt","given":"Tawanna R."},{"family":"Wang","given":"Xinyi"},{"family":"Wheeler","given":"Earnest"},{"family":"Cheng","given":"Hao Fei"},{"family":"Hecht","given":"Brent"},{"family":"Zhu","given":"Haiyi"}],"issued":{"date-parts":[["2017",12,6]]}}},{"id":794,"uris":["http://zotero.org/users/12411779/items/LEWDSLLY"],"itemData":{"id":794,"type":"paper-conference","abstract":"“Libraries of Things” are tangible collections of borrowable objects. There are many benefits to Libraries of Things such as making objects and skill-building accessible, reducing waste through the sharing of items, and saving costs associated with purchasing rarely-used items. We introduce the first HCI study of Library of Things by interviewing 23 librarians who run a variety of collections such as handheld tools, gear, and musical instruments – within public institutions and more grass-roots efforts in the private sector. In our findings, we discuss the challenges these collections experience in changing behavioural patterns from buying to borrowing, helping individuals ‘try new things’, iterating to find sharable items, training staff, and manual intervention throughout the borrowing cycle. We present 5 opportunities for HCI research to support interactive skill-sharing, self-borrowing, maintenance recognition and cataloguing ‘things’, organizing non-uniform inventories, and creating public-awareness. Further in-the-wild studies should also consider the tensions between the values of these organizations and low-cost convenient usage.","collection-title":"CHI '23","container-title":"Proceedings of the 2023 CHI Conference on Human Factors in Computing Systems","DOI":"10.1145/3544548.3581094","event-place":"New York, NY, USA","ISBN":"978-1-4503-9421-5","page":"1–18","publisher":"Association for Computing Machinery","publisher-place":"New York, NY, USA","source":"ACM Digital Library","title":"Libraries of Things: Understanding the Challenges of Sharing Tangible Collections and the Opportunities for HCI","title-short":"Libraries of Things","URL":"https://dl.acm.org/doi/10.1145/3544548.3581094","author":[{"family":"Jones","given":"Lee"},{"family":"Nousir","given":"Alaa"},{"family":"Everrett","given":"Tom"},{"family":"Nabil","given":"Sara"}],"accessed":{"date-parts":[["2023",10,9]]},"issued":{"date-parts":[["2023",4,19]]}}},{"id":2339,"uris":["http://zotero.org/users/12411779/items/FZQEPJQN"],"itemData":{"id":2339,"type":"paper-conference","abstract":"This paper examines account sharing in the context of networked hospitality exchange. I discuss the dynamics of account sharing based on a qualitative interview study with multi-person households who offer to host visitors via Couchsurfing.org. Findings reveal that multi-person households that engage in account sharing face several challenges, including presenting multiple people in one profile, coordinating negotiations over access to domestic space, and representing in a fair way the reputation hosts have accumulated together over time. Amidst the rising rhetoric of a 'reputation economy', this paper calls for engaging the inclusions, exclusions, and inequalities that reputation metrics may renew or create, especially if they fail to acknowledge people's account sharing practices. Furthermore, this paper encourages adopting a design focus beyond individuals in order to support maintaining shared accounts and interacting with others through them. The findings have implications for a variety of hospitality exchange services and other online systems.","collection-title":"CSCW '14","container-title":"Proceedings of the 17th ACM conference on Computer supported cooperative work &amp; social computing","DOI":"10.1145/2531602.2531665","event-place":"New York, NY, USA","ISBN":"978-1-4503-2540-0","page":"499–504","publisher":"Association for Computing Machinery","publisher-place":"New York, NY, USA","source":"ACM Digital Library","title":"Account sharing in the context of networked hospitality exchange","URL":"https://doi.org/10.1145/2531602.2531665","author":[{"family":"Lampinen","given":"Airi M I"}],"accessed":{"date-parts":[["2024",4,11]]},"issued":{"date-parts":[["2014",2,15]]}}}],"schema":"https://github.com/citation-style-language/schema/raw/master/csl-citation.json"} </w:instrText>
      </w:r>
      <w:r w:rsidRPr="000363A0">
        <w:rPr>
          <w:rFonts w:ascii="Aptos" w:hAnsi="Aptos"/>
          <w:sz w:val="24"/>
        </w:rPr>
        <w:fldChar w:fldCharType="separate"/>
      </w:r>
      <w:r w:rsidRPr="000363A0">
        <w:rPr>
          <w:rFonts w:ascii="Aptos" w:hAnsi="Aptos"/>
          <w:noProof/>
          <w:sz w:val="24"/>
        </w:rPr>
        <w:t>[7], [8], [9]</w:t>
      </w:r>
      <w:r w:rsidRPr="000363A0">
        <w:rPr>
          <w:rFonts w:ascii="Aptos" w:hAnsi="Aptos"/>
          <w:sz w:val="24"/>
        </w:rPr>
        <w:fldChar w:fldCharType="end"/>
      </w:r>
      <w:r w:rsidRPr="000363A0">
        <w:rPr>
          <w:rFonts w:ascii="Aptos" w:hAnsi="Aptos"/>
          <w:sz w:val="24"/>
        </w:rPr>
        <w:t>). While some studies highlight the need to develop self-borrowing, maintaining and cataloguing systems for tangible things and easy access instructions for the users (e.g.</w:t>
      </w:r>
      <w:r w:rsidRPr="000363A0">
        <w:rPr>
          <w:rFonts w:ascii="Aptos" w:hAnsi="Aptos"/>
          <w:sz w:val="24"/>
        </w:rPr>
        <w:fldChar w:fldCharType="begin"/>
      </w:r>
      <w:r w:rsidRPr="000363A0">
        <w:rPr>
          <w:rFonts w:ascii="Aptos" w:hAnsi="Aptos"/>
          <w:sz w:val="24"/>
        </w:rPr>
        <w:instrText xml:space="preserve"> ADDIN ZOTERO_ITEM CSL_CITATION {"citationID":"UPMYg1iQ","properties":{"formattedCitation":"[8], [9]","plainCitation":"[8], [9]","noteIndex":0},"citationItems":[{"id":794,"uris":["http://zotero.org/users/12411779/items/LEWDSLLY"],"itemData":{"id":794,"type":"paper-conference","abstract":"“Libraries of Things” are tangible collections of borrowable objects. There are many benefits to Libraries of Things such as making objects and skill-building accessible, reducing waste through the sharing of items, and saving costs associated with purchasing rarely-used items. We introduce the first HCI study of Library of Things by interviewing 23 librarians who run a variety of collections such as handheld tools, gear, and musical instruments – within public institutions and more grass-roots efforts in the private sector. In our findings, we discuss the challenges these collections experience in changing behavioural patterns from buying to borrowing, helping individuals ‘try new things’, iterating to find sharable items, training staff, and manual intervention throughout the borrowing cycle. We present 5 opportunities for HCI research to support interactive skill-sharing, self-borrowing, maintenance recognition and cataloguing ‘things’, organizing non-uniform inventories, and creating public-awareness. Further in-the-wild studies should also consider the tensions between the values of these organizations and low-cost convenient usage.","collection-title":"CHI '23","container-title":"Proceedings of the 2023 CHI Conference on Human Factors in Computing Systems","DOI":"10.1145/3544548.3581094","event-place":"New York, NY, USA","ISBN":"978-1-4503-9421-5","page":"1–18","publisher":"Association for Computing Machinery","publisher-place":"New York, NY, USA","source":"ACM Digital Library","title":"Libraries of Things: Understanding the Challenges of Sharing Tangible Collections and the Opportunities for HCI","title-short":"Libraries of Things","URL":"https://dl.acm.org/doi/10.1145/3544548.3581094","author":[{"family":"Jones","given":"Lee"},{"family":"Nousir","given":"Alaa"},{"family":"Everrett","given":"Tom"},{"family":"Nabil","given":"Sara"}],"accessed":{"date-parts":[["2023",10,9]]},"issued":{"date-parts":[["2023",4,19]]}}},{"id":2339,"uris":["http://zotero.org/users/12411779/items/FZQEPJQN"],"itemData":{"id":2339,"type":"paper-conference","abstract":"This paper examines account sharing in the context of networked hospitality exchange. I discuss the dynamics of account sharing based on a qualitative interview study with multi-person households who offer to host visitors via Couchsurfing.org. Findings reveal that multi-person households that engage in account sharing face several challenges, including presenting multiple people in one profile, coordinating negotiations over access to domestic space, and representing in a fair way the reputation hosts have accumulated together over time. Amidst the rising rhetoric of a 'reputation economy', this paper calls for engaging the inclusions, exclusions, and inequalities that reputation metrics may renew or create, especially if they fail to acknowledge people's account sharing practices. Furthermore, this paper encourages adopting a design focus beyond individuals in order to support maintaining shared accounts and interacting with others through them. The findings have implications for a variety of hospitality exchange services and other online systems.","collection-title":"CSCW '14","container-title":"Proceedings of the 17th ACM conference on Computer supported cooperative work &amp; social computing","DOI":"10.1145/2531602.2531665","event-place":"New York, NY, USA","ISBN":"978-1-4503-2540-0","page":"499–504","publisher":"Association for Computing Machinery","publisher-place":"New York, NY, USA","source":"ACM Digital Library","title":"Account sharing in the context of networked hospitality exchange","URL":"https://doi.org/10.1145/2531602.2531665","author":[{"family":"Lampinen","given":"Airi M I"}],"accessed":{"date-parts":[["2024",4,11]]},"issued":{"date-parts":[["2014",2,15]]}}}],"schema":"https://github.com/citation-style-language/schema/raw/master/csl-citation.json"} </w:instrText>
      </w:r>
      <w:r w:rsidRPr="000363A0">
        <w:rPr>
          <w:rFonts w:ascii="Aptos" w:hAnsi="Aptos"/>
          <w:sz w:val="24"/>
        </w:rPr>
        <w:fldChar w:fldCharType="separate"/>
      </w:r>
      <w:r w:rsidRPr="000363A0">
        <w:rPr>
          <w:rStyle w:val="CommentReference"/>
          <w:rFonts w:ascii="Aptos" w:hAnsi="Aptos"/>
          <w:sz w:val="24"/>
          <w:szCs w:val="24"/>
        </w:rPr>
        <w:t>[8], [9]</w:t>
      </w:r>
      <w:r w:rsidRPr="000363A0">
        <w:rPr>
          <w:rFonts w:ascii="Aptos" w:hAnsi="Aptos"/>
          <w:sz w:val="24"/>
        </w:rPr>
        <w:fldChar w:fldCharType="end"/>
      </w:r>
      <w:r w:rsidRPr="000363A0">
        <w:rPr>
          <w:rFonts w:ascii="Aptos" w:hAnsi="Aptos"/>
          <w:sz w:val="24"/>
        </w:rPr>
        <w:t xml:space="preserve">), some studies explored how to promote the longevity of the shared objects through designing objects that respond to user’s emotional needs, such as the Psychological Ownership (e.g. </w:t>
      </w:r>
      <w:r w:rsidRPr="000363A0">
        <w:rPr>
          <w:rFonts w:ascii="Aptos" w:hAnsi="Aptos"/>
          <w:sz w:val="24"/>
        </w:rPr>
        <w:fldChar w:fldCharType="begin"/>
      </w:r>
      <w:r w:rsidRPr="000363A0">
        <w:rPr>
          <w:rFonts w:ascii="Aptos" w:hAnsi="Aptos"/>
          <w:sz w:val="24"/>
        </w:rPr>
        <w:instrText xml:space="preserve"> ADDIN ZOTERO_ITEM CSL_CITATION {"citationID":"ZPbQBgWl","properties":{"formattedCitation":"[4], [10]","plainCitation":"[4], [10]","noteIndex":0},"citationItems":[{"id":2142,"uris":["http://zotero.org/users/12411779/items/M86I923W"],"itemData":{"id":2142,"type":"paper-conference","abstract":"Smart speakers are increasingly being adopted by families in the U.S. In many cases, a smart speaker is shared by family members, which might make the sense of ownership uncertain. Through a diary and interview-based study with 20 Asian Indian parents and teenagers living in the U.S., this study through thematic analysis highlights various aspects of smart speakers that support or hinder the fulfilment of the psychological needs – self-efficacy, self-identity, territoriality, autonomy, and accountability and responsibility – that foster a sense of ownership. The paper also discusses the experiences of a cultural group that is not well represented in prior HCI work, and thus, it will add useful nuances and knowledge about inclusivity to the study of smart-speaker technology in HCI. Finally, it contributes six actionable design guidelines, including guidelines that relate to maintaining conversational context across different interactions and fostering a sense of ownership among users who share smart speakers, through the use of territorial markers.","collection-title":"CHI '22","container-title":"Proceedings of the 2022 CHI Conference on Human Factors in Computing Systems","DOI":"10.1145/3491102.3517680","event-place":"New York, NY, USA","ISBN":"978-1-4503-9157-3","page":"1–15","publisher":"Association for Computing Machinery","publisher-place":"New York, NY, USA","source":"ACM Digital Library","title":"Supporting the Design of Smart Speakers to Foster a Sense of Ownership in Asian Indian Families","URL":"https://dl.acm.org/doi/10.1145/3491102.3517680","author":[{"family":"Garg","given":"Radhika"}],"accessed":{"date-parts":[["2024",3,27]]},"issued":{"date-parts":[["2022",4,29]]}}},{"id":1789,"uris":["http://zotero.org/users/12411779/items/Z32RFJEU"],"itemData":{"id":1789,"type":"article-journal","abstract":"Most Circular Economy (CE) research to date has focused on supply-side factors such as the design, implementation, and monitoring of Circular business models, with comparatively little attention given to the role consumers and consumer psychology are likely to play in CE transition. A key driver of the CE framework is widespread public engagement in non-ownership or “access-based” consumption. In the absence of legally established property rights, the extent to which consumers experience a subjective sense of ownership over accessed (i.e., rented or shared) goods and services will be important in both understanding and fostering CE development. This paper introduces the construct and theory of psychological ownership (PO), discussing empirical evidence for its role in access-based consumption, primarily consumers’ use of product-service systems (PSSs). Overall, there is reasonable evidence that PSS users can and do develop a sense of psychological ownership for rented items with, by implication, accessed goods and services activating at least one behavioural pathway or “route” to its development. Once attained, PO tends to have a positive—often mediating—impact on users’ perceptions, attitudes, intentions, and behaviour towards rented product-services, with stronger PO having greater influence. A conceptual application of Psychological Ownership Theory to access-based consumption—hence the Circular Economic framework—is forwarded, with potential frustrations to PO development, plus implications for marketers and CE strategists, also discussed. With relevant literature, still sparse various directions for future research are also suggested.","container-title":"Circular Economy and Sustainability","DOI":"10.1007/s43615-021-00041-0","ISSN":"2730-5988","issue":"2","journalAbbreviation":"Circ.Econ.Sust.","language":"en","page":"719-744","source":"Springer Link","title":"Rented But MINE! Application of Psychological Ownership Theory to Access-Based Consumption and the Circular Economy","volume":"1","author":[{"family":"Rogers","given":"Paul"}],"issued":{"date-parts":[["2021",9,1]]}}}],"schema":"https://github.com/citation-style-language/schema/raw/master/csl-citation.json"} </w:instrText>
      </w:r>
      <w:r w:rsidRPr="000363A0">
        <w:rPr>
          <w:rFonts w:ascii="Aptos" w:hAnsi="Aptos"/>
          <w:sz w:val="24"/>
        </w:rPr>
        <w:fldChar w:fldCharType="separate"/>
      </w:r>
      <w:r w:rsidRPr="000363A0">
        <w:rPr>
          <w:rFonts w:ascii="Aptos" w:hAnsi="Aptos"/>
          <w:noProof/>
          <w:sz w:val="24"/>
        </w:rPr>
        <w:t>[4], [10]</w:t>
      </w:r>
      <w:r w:rsidRPr="000363A0">
        <w:rPr>
          <w:rFonts w:ascii="Aptos" w:hAnsi="Aptos"/>
          <w:sz w:val="24"/>
        </w:rPr>
        <w:fldChar w:fldCharType="end"/>
      </w:r>
      <w:r w:rsidRPr="000363A0">
        <w:rPr>
          <w:rFonts w:ascii="Aptos" w:hAnsi="Aptos"/>
          <w:sz w:val="24"/>
        </w:rPr>
        <w:t xml:space="preserve">). Psychological Ownership refers to what people feel a sense of ownership over but do not necessarily legally own; studies suggested providing PO in object sharing experience could enable users to feel a stronger sense of responsibility over the shared object, extending the lifespan of shared objects </w:t>
      </w:r>
      <w:r w:rsidRPr="000363A0">
        <w:rPr>
          <w:rFonts w:ascii="Aptos" w:hAnsi="Aptos"/>
          <w:sz w:val="24"/>
        </w:rPr>
        <w:fldChar w:fldCharType="begin"/>
      </w:r>
      <w:r w:rsidRPr="000363A0">
        <w:rPr>
          <w:rFonts w:ascii="Aptos" w:hAnsi="Aptos"/>
          <w:sz w:val="24"/>
        </w:rPr>
        <w:instrText xml:space="preserve"> ADDIN ZOTERO_ITEM CSL_CITATION {"citationID":"ZIsZeS7h","properties":{"formattedCitation":"[11]","plainCitation":"[11]","noteIndex":0},"citationItems":[{"id":50,"uris":["http://zotero.org/users/12411779/items/ECT2LGA2"],"itemData":{"id":50,"type":"article-journal","abstract":"&lt;p&gt;People develop feelings of ownership for a variety of objects, material and immaterial in nature. We refer to this state as psychological ownership. Building on and extending previous scholarship, the authors offer a conceptual examination of this construct. After defining psychological ownership, they address “why” it exists and “how” it comes into being. They propose that this state finds its roots in a set of intraindividual motives (efficacy and effectance, self-identity, and having a place to dwell). In addition, they discuss the experiences that give rise to psychological ownership and propose several positive and negative consequences of this state. The authors’ work provides a foundation for the development of a comprehensive theory of psychological ownership and the conceptual underpinnings for empirical testing.&lt;/p&gt;","container-title":"Review of General Psychology","DOI":"10.1037/1089-2680.7.1.84","ISSN":"1089-2680","issue":"1","page":"84-107","title":"The State of Psychological Ownership: Integrating and Extending a Century of Research","volume":"7","author":[{"family":"Pierce","given":"Jon L."},{"family":"Kostova","given":"Tatiana"},{"family":"Dirks","given":"Kurt T."}],"issued":{"date-parts":[["2003",3]]}}}],"schema":"https://github.com/citation-style-language/schema/raw/master/csl-citation.json"} </w:instrText>
      </w:r>
      <w:r w:rsidRPr="000363A0">
        <w:rPr>
          <w:rFonts w:ascii="Aptos" w:hAnsi="Aptos"/>
          <w:sz w:val="24"/>
        </w:rPr>
        <w:fldChar w:fldCharType="separate"/>
      </w:r>
      <w:r w:rsidRPr="000363A0">
        <w:rPr>
          <w:rFonts w:ascii="Aptos" w:hAnsi="Aptos"/>
          <w:noProof/>
          <w:sz w:val="24"/>
        </w:rPr>
        <w:t>[11]</w:t>
      </w:r>
      <w:r w:rsidRPr="000363A0">
        <w:rPr>
          <w:rFonts w:ascii="Aptos" w:hAnsi="Aptos"/>
          <w:sz w:val="24"/>
        </w:rPr>
        <w:fldChar w:fldCharType="end"/>
      </w:r>
      <w:r w:rsidRPr="000363A0">
        <w:rPr>
          <w:rFonts w:ascii="Aptos" w:hAnsi="Aptos"/>
          <w:sz w:val="24"/>
        </w:rPr>
        <w:t>.</w:t>
      </w:r>
    </w:p>
    <w:p w14:paraId="17A15539" w14:textId="77777777" w:rsidR="009051FF" w:rsidRPr="000363A0" w:rsidRDefault="009051FF" w:rsidP="000363A0">
      <w:pPr>
        <w:pStyle w:val="ParaContinue"/>
        <w:rPr>
          <w:rFonts w:ascii="Aptos" w:hAnsi="Aptos"/>
          <w:sz w:val="24"/>
        </w:rPr>
      </w:pPr>
      <w:r w:rsidRPr="000363A0">
        <w:rPr>
          <w:rFonts w:ascii="Aptos" w:hAnsi="Aptos"/>
          <w:sz w:val="24"/>
        </w:rPr>
        <w:t xml:space="preserve">However, an increasing </w:t>
      </w:r>
      <w:proofErr w:type="gramStart"/>
      <w:r w:rsidRPr="000363A0">
        <w:rPr>
          <w:rFonts w:ascii="Aptos" w:hAnsi="Aptos"/>
          <w:sz w:val="24"/>
        </w:rPr>
        <w:t>amount</w:t>
      </w:r>
      <w:proofErr w:type="gramEnd"/>
      <w:r w:rsidRPr="000363A0">
        <w:rPr>
          <w:rFonts w:ascii="Aptos" w:hAnsi="Aptos"/>
          <w:sz w:val="24"/>
        </w:rPr>
        <w:t xml:space="preserve"> of studies suggested that the entanglement and misalignment of interests and motivations between different stakeholders in ABC could be a bigger problem for the development of ABC. The ABC is based on a participatory culture that relies on public engagement </w:t>
      </w:r>
      <w:r w:rsidRPr="000363A0">
        <w:rPr>
          <w:rFonts w:ascii="Aptos" w:hAnsi="Aptos"/>
          <w:sz w:val="24"/>
        </w:rPr>
        <w:fldChar w:fldCharType="begin"/>
      </w:r>
      <w:r w:rsidRPr="000363A0">
        <w:rPr>
          <w:rFonts w:ascii="Aptos" w:hAnsi="Aptos"/>
          <w:sz w:val="24"/>
        </w:rPr>
        <w:instrText xml:space="preserve"> ADDIN ZOTERO_ITEM CSL_CITATION {"citationID":"k116ubEH","properties":{"formattedCitation":"[12]","plainCitation":"[12]","noteIndex":0},"citationItems":[{"id":212,"uris":["http://zotero.org/users/12411779/items/AGZQXS7W"],"itemData":{"id":212,"type":"post-weblog","abstract":"Genocide, slavery and spices","container-title":"Medium","language":"en","title":"The Disturbing Colonial History of Pumpkin Spice","URL":"https://tomsmith585.medium.com/the-disturbing-colonial-history-of-pumpkin-spice-fbe62b7e213a","author":[{"family":"Smith","given":"Thomas"}],"accessed":{"date-parts":[["2023",9,20]]},"issued":{"date-parts":[["2023",9,18]]}}}],"schema":"https://github.com/citation-style-language/schema/raw/master/csl-citation.json"} </w:instrText>
      </w:r>
      <w:r w:rsidRPr="000363A0">
        <w:rPr>
          <w:rFonts w:ascii="Aptos" w:hAnsi="Aptos"/>
          <w:sz w:val="24"/>
        </w:rPr>
        <w:fldChar w:fldCharType="separate"/>
      </w:r>
      <w:r w:rsidRPr="000363A0">
        <w:rPr>
          <w:rFonts w:ascii="Aptos" w:hAnsi="Aptos"/>
          <w:noProof/>
          <w:sz w:val="24"/>
        </w:rPr>
        <w:t>[12]</w:t>
      </w:r>
      <w:r w:rsidRPr="000363A0">
        <w:rPr>
          <w:rFonts w:ascii="Aptos" w:hAnsi="Aptos"/>
          <w:sz w:val="24"/>
        </w:rPr>
        <w:fldChar w:fldCharType="end"/>
      </w:r>
      <w:r w:rsidRPr="000363A0">
        <w:rPr>
          <w:rFonts w:ascii="Aptos" w:hAnsi="Aptos"/>
          <w:sz w:val="24"/>
        </w:rPr>
        <w:t xml:space="preserve">. In which different stakeholders often do not think with one mind. This means it is hard to identify an effective way to make the experience of object sharing more desirable </w:t>
      </w:r>
      <w:r w:rsidRPr="000363A0">
        <w:rPr>
          <w:rFonts w:ascii="Aptos" w:hAnsi="Aptos"/>
          <w:sz w:val="24"/>
        </w:rPr>
        <w:fldChar w:fldCharType="begin"/>
      </w:r>
      <w:r w:rsidRPr="000363A0">
        <w:rPr>
          <w:rFonts w:ascii="Aptos" w:hAnsi="Aptos"/>
          <w:sz w:val="24"/>
        </w:rPr>
        <w:instrText xml:space="preserve"> ADDIN ZOTERO_ITEM CSL_CITATION {"citationID":"6UEoLxM6","properties":{"formattedCitation":"[13], [14]","plainCitation":"[13], [14]","noteIndex":0},"citationItems":[{"id":1970,"uris":["http://zotero.org/users/12411779/items/2X86GV9J"],"itemData":{"id":1970,"type":"article-journal","abstract":"Barriers to access-based consumption (ABC) have been extensively studied in different strands of literature. However, cumulative knowledge is not organized to date, and a comprehensive overview of barriers identified by empirical studies in diverse strands is lacking. Such a picture is essential for laying the ground for further change-oriented research and actual changes in practice. This article reports on the results of a systematic review on barriers to transitioning from ownership- to access-based consumption. The review focuses on the literature strands product-service systems, circular economy, sharing economy, and collaborative consumption. Through open and axial coding of 289 barriers reported in 45 empirical studies, we found 17 themes of barriers concerning consumers, business, and society. The analysis of the barriers reveals four significant insights important for the research and practitioner community: (1) the overall experience of ABC and trust mechanisms need to be better understood; (2) organizational aspects in traditional business need a system change; (3) regulation plays a fundamental role in making ABC work for business, society, and sustainability; and (4) sharing risks and experimentation for new learnings are necessary. These four major insights suggest that consumers need business and government to offer enabling conditions for ABC – spanning from raising awareness and understanding to improving user experience. Furthermore, businesses need governments to create the necessary structures to support ABC offerings – from decreasing risks to increasing incentives. How and which mechanisms can further facilitate circular behaviors is a salient topic for future investigations.","container-title":"Resources, Conservation and Recycling","DOI":"10.1016/j.resconrec.2022.106364","ISSN":"0921-3449","journalAbbreviation":"Resources, Conservation and Recycling","page":"106364","source":"ScienceDirect","title":"Barriers to access-based consumption in the circular transition: A systematic review","title-short":"Barriers to access-based consumption in the circular transition","volume":"184","author":[{"family":"Arekrans","given":"Johan"},{"family":"Sopjani","given":"Liridona"},{"family":"Laurenti","given":"Rafael"},{"family":"Ritzén","given":"Sofia"}],"issued":{"date-parts":[["2022",9,1]]}}},{"id":2282,"uris":["http://zotero.org/users/12411779/items/UZF8HXN7"],"itemData":{"id":2282,"type":"article-journal","abstract":"The sharing economy disrupts the marketplace and brings both benefits and disadvantages into service ecosystems. We discuss principles of the S-D logic and transformative service research and explore the processes of value co-creation and co-destruction of well-being within the ecosystem of the accommodation sharing economy. Following a brief period of euphoria, the dark side of the sharing economy emerges, defined as the socially, environmentally, or economically undesirable effects introduced by the sharing economy. Airbnb introduced new realities for visitors, neighborhoods, the accommodation industry, and city councils, whereby some stakeholders are frequently found to maximize their own value at the expense of others. Value co-destruction prevails often due to uncontrolled and rapid expansion. We seek to promote a more balanced process, and the optimization of value co-creation, while seeking to prevent value co-destruction. Using a literature review, netnography, and a case study, we investigate co-creation and co-destruction, as expressed by different stakeholders, and focus on the socio-psychological implications in the use of sharing platforms that affect the well-being of individuals and community. A conceptual framework is proposed to manage future research addressing well-being, value co-creation and co-destruction in complex ecosystem service networks.","container-title":"Psychology &amp; Marketing","DOI":"10.1002/mar.21344","ISSN":"1520-6793","issue":"5","language":"en","license":"© 2020 Wiley Periodicals, Inc.","note":"_eprint: https://onlinelibrary.wiley.com/doi/pdf/10.1002/mar.21344","page":"689-704","source":"Wiley Online Library","title":"The dark side of the sharing economy: Balancing value co-creation and value co-destruction","title-short":"The dark side of the sharing economy","volume":"37","author":[{"family":"Buhalis","given":"Dimitrios"},{"family":"Andreu","given":"Luisa"},{"family":"Gnoth","given":"Juergen"}],"issued":{"date-parts":[["2020"]]}}}],"schema":"https://github.com/citation-style-language/schema/raw/master/csl-citation.json"} </w:instrText>
      </w:r>
      <w:r w:rsidRPr="000363A0">
        <w:rPr>
          <w:rFonts w:ascii="Aptos" w:hAnsi="Aptos"/>
          <w:sz w:val="24"/>
        </w:rPr>
        <w:fldChar w:fldCharType="separate"/>
      </w:r>
      <w:r w:rsidRPr="000363A0">
        <w:rPr>
          <w:rFonts w:ascii="Aptos" w:hAnsi="Aptos"/>
          <w:noProof/>
          <w:sz w:val="24"/>
        </w:rPr>
        <w:t>[13], [14]</w:t>
      </w:r>
      <w:r w:rsidRPr="000363A0">
        <w:rPr>
          <w:rFonts w:ascii="Aptos" w:hAnsi="Aptos"/>
          <w:sz w:val="24"/>
        </w:rPr>
        <w:fldChar w:fldCharType="end"/>
      </w:r>
      <w:r w:rsidRPr="000363A0">
        <w:rPr>
          <w:rFonts w:ascii="Aptos" w:hAnsi="Aptos"/>
          <w:sz w:val="24"/>
        </w:rPr>
        <w:t xml:space="preserve">. For instance, while some users might suggest object sharing experience should offer a sense of PO, some users claim that PO is not what they are looking for in the sharing experience </w:t>
      </w:r>
      <w:r w:rsidRPr="000363A0">
        <w:rPr>
          <w:rFonts w:ascii="Aptos" w:hAnsi="Aptos"/>
          <w:sz w:val="24"/>
        </w:rPr>
        <w:fldChar w:fldCharType="begin"/>
      </w:r>
      <w:r w:rsidRPr="000363A0">
        <w:rPr>
          <w:rFonts w:ascii="Aptos" w:hAnsi="Aptos"/>
          <w:sz w:val="24"/>
        </w:rPr>
        <w:instrText xml:space="preserve"> ADDIN ZOTERO_ITEM CSL_CITATION {"citationID":"QG8s9NSl","properties":{"formattedCitation":"[5]","plainCitation":"[5]","noteIndex":0},"citationItems":[{"id":79,"uris":["http://zotero.org/users/12411779/items/KTX2F42N","http://zotero.org/users/12411779/items/8LVKH3YX"],"itemData":{"id":79,"type":"article-journal","container-title":"Journal of Consumer Research","DOI":"10.1086/666376","ISSN":"0093-5301","issue":"4","page":"881-898","title":"Access-Based Consumption: The Case of Car Sharing","volume":"39","author":[{"family":"Bardhi","given":"Fleura"},{"family":"Eckhardt","given":"Giana M."}],"issued":{"date-parts":[["2012",12]]}}}],"schema":"https://github.com/citation-style-language/schema/raw/master/csl-citation.json"} </w:instrText>
      </w:r>
      <w:r w:rsidRPr="000363A0">
        <w:rPr>
          <w:rFonts w:ascii="Aptos" w:hAnsi="Aptos"/>
          <w:sz w:val="24"/>
        </w:rPr>
        <w:fldChar w:fldCharType="separate"/>
      </w:r>
      <w:r w:rsidRPr="000363A0">
        <w:rPr>
          <w:rFonts w:ascii="Aptos" w:hAnsi="Aptos"/>
          <w:noProof/>
          <w:sz w:val="24"/>
        </w:rPr>
        <w:t>[5]</w:t>
      </w:r>
      <w:r w:rsidRPr="000363A0">
        <w:rPr>
          <w:rFonts w:ascii="Aptos" w:hAnsi="Aptos"/>
          <w:sz w:val="24"/>
        </w:rPr>
        <w:fldChar w:fldCharType="end"/>
      </w:r>
      <w:r w:rsidRPr="000363A0">
        <w:rPr>
          <w:rFonts w:ascii="Aptos" w:hAnsi="Aptos"/>
          <w:sz w:val="24"/>
        </w:rPr>
        <w:t>, making it difficult for researchers and designers hard to identify a practical solution that responds to different people’s needs.</w:t>
      </w:r>
    </w:p>
    <w:p w14:paraId="234F27A7" w14:textId="77777777" w:rsidR="009051FF" w:rsidRPr="000363A0" w:rsidRDefault="009051FF" w:rsidP="000363A0">
      <w:pPr>
        <w:pStyle w:val="ParaContinue"/>
        <w:rPr>
          <w:rFonts w:ascii="Aptos" w:hAnsi="Aptos"/>
          <w:sz w:val="24"/>
        </w:rPr>
      </w:pPr>
      <w:r w:rsidRPr="000363A0">
        <w:rPr>
          <w:rFonts w:ascii="Aptos" w:hAnsi="Aptos"/>
          <w:color w:val="000000"/>
          <w:sz w:val="24"/>
        </w:rPr>
        <w:t xml:space="preserve">My research argues that </w:t>
      </w:r>
      <w:proofErr w:type="gramStart"/>
      <w:r w:rsidRPr="000363A0">
        <w:rPr>
          <w:rFonts w:ascii="Aptos" w:hAnsi="Aptos"/>
          <w:color w:val="000000"/>
          <w:sz w:val="24"/>
        </w:rPr>
        <w:t>in order to</w:t>
      </w:r>
      <w:proofErr w:type="gramEnd"/>
      <w:r w:rsidRPr="000363A0">
        <w:rPr>
          <w:rFonts w:ascii="Aptos" w:hAnsi="Aptos"/>
          <w:color w:val="000000"/>
          <w:sz w:val="24"/>
        </w:rPr>
        <w:t xml:space="preserve"> promote the longevity of shared objects, develop new technologies to improve the sharing experience, and bring ABC to a preferable state for various stakeholders in the future, it is necessary to incorporate the concerns, vision, and goals of different stakeholders. My research is based on a design and participatory approach involving a series of future-oriented co-design workshops. These workshops will use design and making to uncover stakeholders' concerns and intentions regarding ABC's future. Inspiring designers and researchers to identify a practical approach to make object sharing more desirable and sustainable.</w:t>
      </w:r>
    </w:p>
    <w:p w14:paraId="2EB0F122" w14:textId="77777777" w:rsidR="009051FF" w:rsidRPr="000363A0" w:rsidRDefault="009051FF" w:rsidP="000363A0">
      <w:pPr>
        <w:pStyle w:val="ParaContinue"/>
        <w:rPr>
          <w:rFonts w:ascii="Aptos" w:hAnsi="Aptos"/>
          <w:sz w:val="24"/>
          <w:lang w:eastAsia="zh-CN"/>
        </w:rPr>
      </w:pPr>
    </w:p>
    <w:p w14:paraId="551F796C" w14:textId="77777777" w:rsidR="009051FF" w:rsidRPr="000363A0" w:rsidRDefault="009051FF" w:rsidP="000363A0">
      <w:pPr>
        <w:pStyle w:val="Bibliography"/>
        <w:jc w:val="both"/>
        <w:rPr>
          <w:rFonts w:ascii="Aptos" w:hAnsi="Aptos" w:cs="Linux Libertine O"/>
          <w:sz w:val="24"/>
          <w:szCs w:val="24"/>
        </w:rPr>
      </w:pPr>
      <w:r w:rsidRPr="000363A0">
        <w:rPr>
          <w:rFonts w:ascii="Aptos" w:hAnsi="Aptos"/>
          <w:sz w:val="24"/>
          <w:szCs w:val="24"/>
        </w:rPr>
        <w:lastRenderedPageBreak/>
        <w:fldChar w:fldCharType="begin"/>
      </w:r>
      <w:r w:rsidRPr="000363A0">
        <w:rPr>
          <w:rFonts w:ascii="Aptos" w:hAnsi="Aptos"/>
          <w:sz w:val="24"/>
          <w:szCs w:val="24"/>
        </w:rPr>
        <w:instrText xml:space="preserve"> ADDIN ZOTERO_BIBL {"uncited":[],"omitted":[],"custom":[]} CSL_BIBLIOGRAPHY </w:instrText>
      </w:r>
      <w:r w:rsidRPr="000363A0">
        <w:rPr>
          <w:rFonts w:ascii="Aptos" w:hAnsi="Aptos"/>
          <w:sz w:val="24"/>
          <w:szCs w:val="24"/>
        </w:rPr>
        <w:fldChar w:fldCharType="separate"/>
      </w:r>
      <w:r w:rsidRPr="000363A0">
        <w:rPr>
          <w:rFonts w:ascii="Aptos" w:hAnsi="Aptos" w:cs="Linux Libertine O"/>
          <w:sz w:val="24"/>
          <w:szCs w:val="24"/>
        </w:rPr>
        <w:t>[1]</w:t>
      </w:r>
      <w:r w:rsidRPr="000363A0">
        <w:rPr>
          <w:rFonts w:ascii="Aptos" w:hAnsi="Aptos" w:cs="Linux Libertine O"/>
          <w:sz w:val="24"/>
          <w:szCs w:val="24"/>
        </w:rPr>
        <w:tab/>
        <w:t xml:space="preserve">E. </w:t>
      </w:r>
      <w:proofErr w:type="spellStart"/>
      <w:r w:rsidRPr="000363A0">
        <w:rPr>
          <w:rFonts w:ascii="Aptos" w:hAnsi="Aptos" w:cs="Linux Libertine O"/>
          <w:sz w:val="24"/>
          <w:szCs w:val="24"/>
        </w:rPr>
        <w:t>Blevis</w:t>
      </w:r>
      <w:proofErr w:type="spellEnd"/>
      <w:r w:rsidRPr="000363A0">
        <w:rPr>
          <w:rFonts w:ascii="Aptos" w:hAnsi="Aptos" w:cs="Linux Libertine O"/>
          <w:sz w:val="24"/>
          <w:szCs w:val="24"/>
        </w:rPr>
        <w:t xml:space="preserve">, ‘Sustainable interaction design: Invention &amp; disposal, renewal &amp; reuse’, Conf. Hum. Factors </w:t>
      </w:r>
      <w:proofErr w:type="spellStart"/>
      <w:r w:rsidRPr="000363A0">
        <w:rPr>
          <w:rFonts w:ascii="Aptos" w:hAnsi="Aptos" w:cs="Linux Libertine O"/>
          <w:sz w:val="24"/>
          <w:szCs w:val="24"/>
        </w:rPr>
        <w:t>Comput</w:t>
      </w:r>
      <w:proofErr w:type="spellEnd"/>
      <w:r w:rsidRPr="000363A0">
        <w:rPr>
          <w:rFonts w:ascii="Aptos" w:hAnsi="Aptos" w:cs="Linux Libertine O"/>
          <w:sz w:val="24"/>
          <w:szCs w:val="24"/>
        </w:rPr>
        <w:t xml:space="preserve">. Syst. - Proc., pp. 503–512, 2007, </w:t>
      </w:r>
      <w:proofErr w:type="spellStart"/>
      <w:r w:rsidRPr="000363A0">
        <w:rPr>
          <w:rFonts w:ascii="Aptos" w:hAnsi="Aptos" w:cs="Linux Libertine O"/>
          <w:sz w:val="24"/>
          <w:szCs w:val="24"/>
        </w:rPr>
        <w:t>doi</w:t>
      </w:r>
      <w:proofErr w:type="spellEnd"/>
      <w:r w:rsidRPr="000363A0">
        <w:rPr>
          <w:rFonts w:ascii="Aptos" w:hAnsi="Aptos" w:cs="Linux Libertine O"/>
          <w:sz w:val="24"/>
          <w:szCs w:val="24"/>
        </w:rPr>
        <w:t>: 10.1145/1240624.1240705.</w:t>
      </w:r>
    </w:p>
    <w:p w14:paraId="3381F66F" w14:textId="77777777" w:rsidR="009051FF" w:rsidRPr="000363A0" w:rsidRDefault="009051FF" w:rsidP="000363A0">
      <w:pPr>
        <w:pStyle w:val="Bibliography"/>
        <w:jc w:val="both"/>
        <w:rPr>
          <w:rFonts w:ascii="Aptos" w:hAnsi="Aptos" w:cs="Linux Libertine O"/>
          <w:sz w:val="24"/>
          <w:szCs w:val="24"/>
        </w:rPr>
      </w:pPr>
      <w:r w:rsidRPr="000363A0">
        <w:rPr>
          <w:rFonts w:ascii="Aptos" w:hAnsi="Aptos" w:cs="Linux Libertine O"/>
          <w:sz w:val="24"/>
          <w:szCs w:val="24"/>
        </w:rPr>
        <w:t>[2]</w:t>
      </w:r>
      <w:r w:rsidRPr="000363A0">
        <w:rPr>
          <w:rFonts w:ascii="Aptos" w:hAnsi="Aptos" w:cs="Linux Libertine O"/>
          <w:sz w:val="24"/>
          <w:szCs w:val="24"/>
        </w:rPr>
        <w:tab/>
        <w:t xml:space="preserve">A. Dabbous and A. </w:t>
      </w:r>
      <w:proofErr w:type="spellStart"/>
      <w:r w:rsidRPr="000363A0">
        <w:rPr>
          <w:rFonts w:ascii="Aptos" w:hAnsi="Aptos" w:cs="Linux Libertine O"/>
          <w:sz w:val="24"/>
          <w:szCs w:val="24"/>
        </w:rPr>
        <w:t>Tarhini</w:t>
      </w:r>
      <w:proofErr w:type="spellEnd"/>
      <w:r w:rsidRPr="000363A0">
        <w:rPr>
          <w:rFonts w:ascii="Aptos" w:hAnsi="Aptos" w:cs="Linux Libertine O"/>
          <w:sz w:val="24"/>
          <w:szCs w:val="24"/>
        </w:rPr>
        <w:t xml:space="preserve">, ‘Does sharing economy promote sustainable economic development and energy efficiency? Evidence from OECD countries, J. </w:t>
      </w:r>
      <w:proofErr w:type="spellStart"/>
      <w:r w:rsidRPr="000363A0">
        <w:rPr>
          <w:rFonts w:ascii="Aptos" w:hAnsi="Aptos" w:cs="Linux Libertine O"/>
          <w:sz w:val="24"/>
          <w:szCs w:val="24"/>
        </w:rPr>
        <w:t>Innov</w:t>
      </w:r>
      <w:proofErr w:type="spellEnd"/>
      <w:r w:rsidRPr="000363A0">
        <w:rPr>
          <w:rFonts w:ascii="Aptos" w:hAnsi="Aptos" w:cs="Linux Libertine O"/>
          <w:sz w:val="24"/>
          <w:szCs w:val="24"/>
        </w:rPr>
        <w:t xml:space="preserve">. </w:t>
      </w:r>
      <w:proofErr w:type="spellStart"/>
      <w:r w:rsidRPr="000363A0">
        <w:rPr>
          <w:rFonts w:ascii="Aptos" w:hAnsi="Aptos" w:cs="Linux Libertine O"/>
          <w:sz w:val="24"/>
          <w:szCs w:val="24"/>
        </w:rPr>
        <w:t>Knowl</w:t>
      </w:r>
      <w:proofErr w:type="spellEnd"/>
      <w:r w:rsidRPr="000363A0">
        <w:rPr>
          <w:rFonts w:ascii="Aptos" w:hAnsi="Aptos" w:cs="Linux Libertine O"/>
          <w:sz w:val="24"/>
          <w:szCs w:val="24"/>
        </w:rPr>
        <w:t xml:space="preserve">., vol. 6, no. 1, pp. 58–68, Jan. 2021, </w:t>
      </w:r>
      <w:proofErr w:type="spellStart"/>
      <w:r w:rsidRPr="000363A0">
        <w:rPr>
          <w:rFonts w:ascii="Aptos" w:hAnsi="Aptos" w:cs="Linux Libertine O"/>
          <w:sz w:val="24"/>
          <w:szCs w:val="24"/>
        </w:rPr>
        <w:t>doi</w:t>
      </w:r>
      <w:proofErr w:type="spellEnd"/>
      <w:r w:rsidRPr="000363A0">
        <w:rPr>
          <w:rFonts w:ascii="Aptos" w:hAnsi="Aptos" w:cs="Linux Libertine O"/>
          <w:sz w:val="24"/>
          <w:szCs w:val="24"/>
        </w:rPr>
        <w:t>: 10.1016/j.jik.2020.11.001.</w:t>
      </w:r>
    </w:p>
    <w:p w14:paraId="1BD7BDC5" w14:textId="77777777" w:rsidR="009051FF" w:rsidRPr="000363A0" w:rsidRDefault="009051FF" w:rsidP="000363A0">
      <w:pPr>
        <w:pStyle w:val="Bibliography"/>
        <w:jc w:val="both"/>
        <w:rPr>
          <w:rFonts w:ascii="Aptos" w:hAnsi="Aptos" w:cs="Linux Libertine O"/>
          <w:sz w:val="24"/>
          <w:szCs w:val="24"/>
        </w:rPr>
      </w:pPr>
      <w:r w:rsidRPr="000363A0">
        <w:rPr>
          <w:rFonts w:ascii="Aptos" w:hAnsi="Aptos" w:cs="Linux Libertine O"/>
          <w:sz w:val="24"/>
          <w:szCs w:val="24"/>
        </w:rPr>
        <w:t>[3]</w:t>
      </w:r>
      <w:r w:rsidRPr="000363A0">
        <w:rPr>
          <w:rFonts w:ascii="Aptos" w:hAnsi="Aptos" w:cs="Linux Libertine O"/>
          <w:sz w:val="24"/>
          <w:szCs w:val="24"/>
        </w:rPr>
        <w:tab/>
        <w:t xml:space="preserve">M. Hossain, ‘Sharing economy: A comprehensive literature review’, Int. J. Hosp. </w:t>
      </w:r>
      <w:proofErr w:type="spellStart"/>
      <w:r w:rsidRPr="000363A0">
        <w:rPr>
          <w:rFonts w:ascii="Aptos" w:hAnsi="Aptos" w:cs="Linux Libertine O"/>
          <w:sz w:val="24"/>
          <w:szCs w:val="24"/>
        </w:rPr>
        <w:t>Manag</w:t>
      </w:r>
      <w:proofErr w:type="spellEnd"/>
      <w:r w:rsidRPr="000363A0">
        <w:rPr>
          <w:rFonts w:ascii="Aptos" w:hAnsi="Aptos" w:cs="Linux Libertine O"/>
          <w:sz w:val="24"/>
          <w:szCs w:val="24"/>
        </w:rPr>
        <w:t xml:space="preserve">., vol. 87, p. 102470, May 2020, </w:t>
      </w:r>
      <w:proofErr w:type="spellStart"/>
      <w:r w:rsidRPr="000363A0">
        <w:rPr>
          <w:rFonts w:ascii="Aptos" w:hAnsi="Aptos" w:cs="Linux Libertine O"/>
          <w:sz w:val="24"/>
          <w:szCs w:val="24"/>
        </w:rPr>
        <w:t>doi</w:t>
      </w:r>
      <w:proofErr w:type="spellEnd"/>
      <w:r w:rsidRPr="000363A0">
        <w:rPr>
          <w:rFonts w:ascii="Aptos" w:hAnsi="Aptos" w:cs="Linux Libertine O"/>
          <w:sz w:val="24"/>
          <w:szCs w:val="24"/>
        </w:rPr>
        <w:t>: 10.1016/j.ijhm.2020.102470.</w:t>
      </w:r>
    </w:p>
    <w:p w14:paraId="3E97DFF2" w14:textId="77777777" w:rsidR="009051FF" w:rsidRPr="000363A0" w:rsidRDefault="009051FF" w:rsidP="000363A0">
      <w:pPr>
        <w:pStyle w:val="Bibliography"/>
        <w:jc w:val="both"/>
        <w:rPr>
          <w:rFonts w:ascii="Aptos" w:hAnsi="Aptos" w:cs="Linux Libertine O"/>
          <w:sz w:val="24"/>
          <w:szCs w:val="24"/>
        </w:rPr>
      </w:pPr>
      <w:r w:rsidRPr="000363A0">
        <w:rPr>
          <w:rFonts w:ascii="Aptos" w:hAnsi="Aptos" w:cs="Linux Libertine O"/>
          <w:sz w:val="24"/>
          <w:szCs w:val="24"/>
        </w:rPr>
        <w:t>[4]</w:t>
      </w:r>
      <w:r w:rsidRPr="000363A0">
        <w:rPr>
          <w:rFonts w:ascii="Aptos" w:hAnsi="Aptos" w:cs="Linux Libertine O"/>
          <w:sz w:val="24"/>
          <w:szCs w:val="24"/>
        </w:rPr>
        <w:tab/>
        <w:t xml:space="preserve">P. Rogers, ‘Rented But MINE! Application of Psychological Ownership Theory to Access-Based Consumption and the Circular Economy’, Circ. Econ. Sustain., vol. 1, no. 2, pp. 719–744, Sep. 2021, </w:t>
      </w:r>
      <w:proofErr w:type="spellStart"/>
      <w:r w:rsidRPr="000363A0">
        <w:rPr>
          <w:rFonts w:ascii="Aptos" w:hAnsi="Aptos" w:cs="Linux Libertine O"/>
          <w:sz w:val="24"/>
          <w:szCs w:val="24"/>
        </w:rPr>
        <w:t>doi</w:t>
      </w:r>
      <w:proofErr w:type="spellEnd"/>
      <w:r w:rsidRPr="000363A0">
        <w:rPr>
          <w:rFonts w:ascii="Aptos" w:hAnsi="Aptos" w:cs="Linux Libertine O"/>
          <w:sz w:val="24"/>
          <w:szCs w:val="24"/>
        </w:rPr>
        <w:t>: 10.1007/s43615-021-00041-0.</w:t>
      </w:r>
    </w:p>
    <w:p w14:paraId="6377154A" w14:textId="77777777" w:rsidR="009051FF" w:rsidRPr="000363A0" w:rsidRDefault="009051FF" w:rsidP="000363A0">
      <w:pPr>
        <w:pStyle w:val="Bibliography"/>
        <w:jc w:val="both"/>
        <w:rPr>
          <w:rFonts w:ascii="Aptos" w:hAnsi="Aptos" w:cs="Linux Libertine O"/>
          <w:sz w:val="24"/>
          <w:szCs w:val="24"/>
        </w:rPr>
      </w:pPr>
      <w:r w:rsidRPr="000363A0">
        <w:rPr>
          <w:rFonts w:ascii="Aptos" w:hAnsi="Aptos" w:cs="Linux Libertine O"/>
          <w:sz w:val="24"/>
          <w:szCs w:val="24"/>
        </w:rPr>
        <w:t>[5]</w:t>
      </w:r>
      <w:r w:rsidRPr="000363A0">
        <w:rPr>
          <w:rFonts w:ascii="Aptos" w:hAnsi="Aptos" w:cs="Linux Libertine O"/>
          <w:sz w:val="24"/>
          <w:szCs w:val="24"/>
        </w:rPr>
        <w:tab/>
        <w:t xml:space="preserve">F. </w:t>
      </w:r>
      <w:proofErr w:type="spellStart"/>
      <w:r w:rsidRPr="000363A0">
        <w:rPr>
          <w:rFonts w:ascii="Aptos" w:hAnsi="Aptos" w:cs="Linux Libertine O"/>
          <w:sz w:val="24"/>
          <w:szCs w:val="24"/>
        </w:rPr>
        <w:t>Bardhi</w:t>
      </w:r>
      <w:proofErr w:type="spellEnd"/>
      <w:r w:rsidRPr="000363A0">
        <w:rPr>
          <w:rFonts w:ascii="Aptos" w:hAnsi="Aptos" w:cs="Linux Libertine O"/>
          <w:sz w:val="24"/>
          <w:szCs w:val="24"/>
        </w:rPr>
        <w:t xml:space="preserve"> and G. M. Eckhardt, ‘Access-Based Consumption: The Case of Car Sharing’, J. </w:t>
      </w:r>
      <w:proofErr w:type="spellStart"/>
      <w:r w:rsidRPr="000363A0">
        <w:rPr>
          <w:rFonts w:ascii="Aptos" w:hAnsi="Aptos" w:cs="Linux Libertine O"/>
          <w:sz w:val="24"/>
          <w:szCs w:val="24"/>
        </w:rPr>
        <w:t>Consum</w:t>
      </w:r>
      <w:proofErr w:type="spellEnd"/>
      <w:r w:rsidRPr="000363A0">
        <w:rPr>
          <w:rFonts w:ascii="Aptos" w:hAnsi="Aptos" w:cs="Linux Libertine O"/>
          <w:sz w:val="24"/>
          <w:szCs w:val="24"/>
        </w:rPr>
        <w:t xml:space="preserve">. Res., vol. 39, no. 4, pp. 881–898, Dec. 2012, </w:t>
      </w:r>
      <w:proofErr w:type="spellStart"/>
      <w:r w:rsidRPr="000363A0">
        <w:rPr>
          <w:rFonts w:ascii="Aptos" w:hAnsi="Aptos" w:cs="Linux Libertine O"/>
          <w:sz w:val="24"/>
          <w:szCs w:val="24"/>
        </w:rPr>
        <w:t>doi</w:t>
      </w:r>
      <w:proofErr w:type="spellEnd"/>
      <w:r w:rsidRPr="000363A0">
        <w:rPr>
          <w:rFonts w:ascii="Aptos" w:hAnsi="Aptos" w:cs="Linux Libertine O"/>
          <w:sz w:val="24"/>
          <w:szCs w:val="24"/>
        </w:rPr>
        <w:t>: 10.1086/666376.</w:t>
      </w:r>
    </w:p>
    <w:p w14:paraId="6A789192" w14:textId="77777777" w:rsidR="009051FF" w:rsidRPr="000363A0" w:rsidRDefault="009051FF" w:rsidP="000363A0">
      <w:pPr>
        <w:pStyle w:val="Bibliography"/>
        <w:jc w:val="both"/>
        <w:rPr>
          <w:rFonts w:ascii="Aptos" w:hAnsi="Aptos" w:cs="Linux Libertine O"/>
          <w:sz w:val="24"/>
          <w:szCs w:val="24"/>
        </w:rPr>
      </w:pPr>
      <w:r w:rsidRPr="000363A0">
        <w:rPr>
          <w:rFonts w:ascii="Aptos" w:hAnsi="Aptos" w:cs="Linux Libertine O"/>
          <w:sz w:val="24"/>
          <w:szCs w:val="24"/>
        </w:rPr>
        <w:t>[6]</w:t>
      </w:r>
      <w:r w:rsidRPr="000363A0">
        <w:rPr>
          <w:rFonts w:ascii="Aptos" w:hAnsi="Aptos" w:cs="Linux Libertine O"/>
          <w:sz w:val="24"/>
          <w:szCs w:val="24"/>
        </w:rPr>
        <w:tab/>
        <w:t xml:space="preserve">S. Hamilton, ‘What’s Mine Is Yours: The History of U.S. Tool-Lending Libraries’, Sch. Inf. Stud. Res. J., vol. 11, no. 1, May 2021, </w:t>
      </w:r>
      <w:proofErr w:type="spellStart"/>
      <w:r w:rsidRPr="000363A0">
        <w:rPr>
          <w:rFonts w:ascii="Aptos" w:hAnsi="Aptos" w:cs="Linux Libertine O"/>
          <w:sz w:val="24"/>
          <w:szCs w:val="24"/>
        </w:rPr>
        <w:t>doi</w:t>
      </w:r>
      <w:proofErr w:type="spellEnd"/>
      <w:r w:rsidRPr="000363A0">
        <w:rPr>
          <w:rFonts w:ascii="Aptos" w:hAnsi="Aptos" w:cs="Linux Libertine O"/>
          <w:sz w:val="24"/>
          <w:szCs w:val="24"/>
        </w:rPr>
        <w:t>: 10.31979/2575-2499.110104.</w:t>
      </w:r>
    </w:p>
    <w:p w14:paraId="2E757824" w14:textId="77777777" w:rsidR="009051FF" w:rsidRPr="000363A0" w:rsidRDefault="009051FF" w:rsidP="000363A0">
      <w:pPr>
        <w:pStyle w:val="Bibliography"/>
        <w:jc w:val="both"/>
        <w:rPr>
          <w:rFonts w:ascii="Aptos" w:hAnsi="Aptos" w:cs="Linux Libertine O"/>
          <w:sz w:val="24"/>
          <w:szCs w:val="24"/>
        </w:rPr>
      </w:pPr>
      <w:r w:rsidRPr="000363A0">
        <w:rPr>
          <w:rFonts w:ascii="Aptos" w:hAnsi="Aptos" w:cs="Linux Libertine O"/>
          <w:sz w:val="24"/>
          <w:szCs w:val="24"/>
        </w:rPr>
        <w:t>[7]</w:t>
      </w:r>
      <w:r w:rsidRPr="000363A0">
        <w:rPr>
          <w:rFonts w:ascii="Aptos" w:hAnsi="Aptos" w:cs="Linux Libertine O"/>
          <w:sz w:val="24"/>
          <w:szCs w:val="24"/>
        </w:rPr>
        <w:tab/>
        <w:t xml:space="preserve">T. R. Dillahunt, X. Wang, E. Wheeler, H. F. Cheng, B. Hecht, and H. Zhu, ‘The Sharing Economy in Computing: A Systematic Literature Review’, Proc. ACM </w:t>
      </w:r>
      <w:proofErr w:type="gramStart"/>
      <w:r w:rsidRPr="000363A0">
        <w:rPr>
          <w:rFonts w:ascii="Aptos" w:hAnsi="Aptos" w:cs="Linux Libertine O"/>
          <w:sz w:val="24"/>
          <w:szCs w:val="24"/>
        </w:rPr>
        <w:t>Hum.-</w:t>
      </w:r>
      <w:proofErr w:type="spellStart"/>
      <w:proofErr w:type="gramEnd"/>
      <w:r w:rsidRPr="000363A0">
        <w:rPr>
          <w:rFonts w:ascii="Aptos" w:hAnsi="Aptos" w:cs="Linux Libertine O"/>
          <w:sz w:val="24"/>
          <w:szCs w:val="24"/>
        </w:rPr>
        <w:t>Comput</w:t>
      </w:r>
      <w:proofErr w:type="spellEnd"/>
      <w:r w:rsidRPr="000363A0">
        <w:rPr>
          <w:rFonts w:ascii="Aptos" w:hAnsi="Aptos" w:cs="Linux Libertine O"/>
          <w:sz w:val="24"/>
          <w:szCs w:val="24"/>
        </w:rPr>
        <w:t xml:space="preserve">. Interact., vol. 1, no. CSCW, p. 38:1-38:26, Dec. 2017, </w:t>
      </w:r>
      <w:proofErr w:type="spellStart"/>
      <w:r w:rsidRPr="000363A0">
        <w:rPr>
          <w:rFonts w:ascii="Aptos" w:hAnsi="Aptos" w:cs="Linux Libertine O"/>
          <w:sz w:val="24"/>
          <w:szCs w:val="24"/>
        </w:rPr>
        <w:t>doi</w:t>
      </w:r>
      <w:proofErr w:type="spellEnd"/>
      <w:r w:rsidRPr="000363A0">
        <w:rPr>
          <w:rFonts w:ascii="Aptos" w:hAnsi="Aptos" w:cs="Linux Libertine O"/>
          <w:sz w:val="24"/>
          <w:szCs w:val="24"/>
        </w:rPr>
        <w:t>: 10.1145/3134673.</w:t>
      </w:r>
    </w:p>
    <w:p w14:paraId="6B8EB858" w14:textId="77777777" w:rsidR="009051FF" w:rsidRPr="000363A0" w:rsidRDefault="009051FF" w:rsidP="000363A0">
      <w:pPr>
        <w:pStyle w:val="Bibliography"/>
        <w:jc w:val="both"/>
        <w:rPr>
          <w:rFonts w:ascii="Aptos" w:hAnsi="Aptos" w:cs="Linux Libertine O"/>
          <w:sz w:val="24"/>
          <w:szCs w:val="24"/>
        </w:rPr>
      </w:pPr>
      <w:r w:rsidRPr="000363A0">
        <w:rPr>
          <w:rFonts w:ascii="Aptos" w:hAnsi="Aptos" w:cs="Linux Libertine O"/>
          <w:sz w:val="24"/>
          <w:szCs w:val="24"/>
        </w:rPr>
        <w:t>[8]</w:t>
      </w:r>
      <w:r w:rsidRPr="000363A0">
        <w:rPr>
          <w:rFonts w:ascii="Aptos" w:hAnsi="Aptos" w:cs="Linux Libertine O"/>
          <w:sz w:val="24"/>
          <w:szCs w:val="24"/>
        </w:rPr>
        <w:tab/>
        <w:t xml:space="preserve">L. Jones, A. </w:t>
      </w:r>
      <w:proofErr w:type="spellStart"/>
      <w:r w:rsidRPr="000363A0">
        <w:rPr>
          <w:rFonts w:ascii="Aptos" w:hAnsi="Aptos" w:cs="Linux Libertine O"/>
          <w:sz w:val="24"/>
          <w:szCs w:val="24"/>
        </w:rPr>
        <w:t>Nousir</w:t>
      </w:r>
      <w:proofErr w:type="spellEnd"/>
      <w:r w:rsidRPr="000363A0">
        <w:rPr>
          <w:rFonts w:ascii="Aptos" w:hAnsi="Aptos" w:cs="Linux Libertine O"/>
          <w:sz w:val="24"/>
          <w:szCs w:val="24"/>
        </w:rPr>
        <w:t xml:space="preserve">, T. </w:t>
      </w:r>
      <w:proofErr w:type="spellStart"/>
      <w:r w:rsidRPr="000363A0">
        <w:rPr>
          <w:rFonts w:ascii="Aptos" w:hAnsi="Aptos" w:cs="Linux Libertine O"/>
          <w:sz w:val="24"/>
          <w:szCs w:val="24"/>
        </w:rPr>
        <w:t>Everrett</w:t>
      </w:r>
      <w:proofErr w:type="spellEnd"/>
      <w:r w:rsidRPr="000363A0">
        <w:rPr>
          <w:rFonts w:ascii="Aptos" w:hAnsi="Aptos" w:cs="Linux Libertine O"/>
          <w:sz w:val="24"/>
          <w:szCs w:val="24"/>
        </w:rPr>
        <w:t xml:space="preserve">, and S. Nabil, ‘Libraries of Things: Understanding the Challenges of Sharing Tangible Collections and the Opportunities for HCI’, in Proceedings of the 2023 CHI Conference on Human Factors in Computing Systems, in CHI ’23. New York, NY, USA: Association for Computing Machinery, Apr. 2023, pp. 1–18. </w:t>
      </w:r>
      <w:proofErr w:type="spellStart"/>
      <w:r w:rsidRPr="000363A0">
        <w:rPr>
          <w:rFonts w:ascii="Aptos" w:hAnsi="Aptos" w:cs="Linux Libertine O"/>
          <w:sz w:val="24"/>
          <w:szCs w:val="24"/>
        </w:rPr>
        <w:t>doi</w:t>
      </w:r>
      <w:proofErr w:type="spellEnd"/>
      <w:r w:rsidRPr="000363A0">
        <w:rPr>
          <w:rFonts w:ascii="Aptos" w:hAnsi="Aptos" w:cs="Linux Libertine O"/>
          <w:sz w:val="24"/>
          <w:szCs w:val="24"/>
        </w:rPr>
        <w:t>: 10.1145/3544548.3581094.</w:t>
      </w:r>
    </w:p>
    <w:p w14:paraId="5D42FBCE" w14:textId="77777777" w:rsidR="009051FF" w:rsidRPr="000363A0" w:rsidRDefault="009051FF" w:rsidP="000363A0">
      <w:pPr>
        <w:pStyle w:val="Bibliography"/>
        <w:jc w:val="both"/>
        <w:rPr>
          <w:rFonts w:ascii="Aptos" w:hAnsi="Aptos" w:cs="Linux Libertine O"/>
          <w:sz w:val="24"/>
          <w:szCs w:val="24"/>
        </w:rPr>
      </w:pPr>
      <w:r w:rsidRPr="000363A0">
        <w:rPr>
          <w:rFonts w:ascii="Aptos" w:hAnsi="Aptos" w:cs="Linux Libertine O"/>
          <w:sz w:val="24"/>
          <w:szCs w:val="24"/>
        </w:rPr>
        <w:t>[9]</w:t>
      </w:r>
      <w:r w:rsidRPr="000363A0">
        <w:rPr>
          <w:rFonts w:ascii="Aptos" w:hAnsi="Aptos" w:cs="Linux Libertine O"/>
          <w:sz w:val="24"/>
          <w:szCs w:val="24"/>
        </w:rPr>
        <w:tab/>
        <w:t xml:space="preserve">A. M. I. </w:t>
      </w:r>
      <w:proofErr w:type="spellStart"/>
      <w:r w:rsidRPr="000363A0">
        <w:rPr>
          <w:rFonts w:ascii="Aptos" w:hAnsi="Aptos" w:cs="Linux Libertine O"/>
          <w:sz w:val="24"/>
          <w:szCs w:val="24"/>
        </w:rPr>
        <w:t>Lampinen</w:t>
      </w:r>
      <w:proofErr w:type="spellEnd"/>
      <w:r w:rsidRPr="000363A0">
        <w:rPr>
          <w:rFonts w:ascii="Aptos" w:hAnsi="Aptos" w:cs="Linux Libertine O"/>
          <w:sz w:val="24"/>
          <w:szCs w:val="24"/>
        </w:rPr>
        <w:t xml:space="preserve">, ‘Account sharing in the context of networked hospitality exchange’, in Proceedings of the 17th ACM conference on Computer supported cooperative work &amp; social computing, in CSCW ’14. New York, NY, USA: Association for Computing Machinery, Feb. 2014, pp. 499–504. </w:t>
      </w:r>
      <w:proofErr w:type="spellStart"/>
      <w:r w:rsidRPr="000363A0">
        <w:rPr>
          <w:rFonts w:ascii="Aptos" w:hAnsi="Aptos" w:cs="Linux Libertine O"/>
          <w:sz w:val="24"/>
          <w:szCs w:val="24"/>
        </w:rPr>
        <w:t>doi</w:t>
      </w:r>
      <w:proofErr w:type="spellEnd"/>
      <w:r w:rsidRPr="000363A0">
        <w:rPr>
          <w:rFonts w:ascii="Aptos" w:hAnsi="Aptos" w:cs="Linux Libertine O"/>
          <w:sz w:val="24"/>
          <w:szCs w:val="24"/>
        </w:rPr>
        <w:t>: 10.1145/2531602.2531665.</w:t>
      </w:r>
    </w:p>
    <w:p w14:paraId="6DC306FE" w14:textId="77777777" w:rsidR="009051FF" w:rsidRPr="000363A0" w:rsidRDefault="009051FF" w:rsidP="000363A0">
      <w:pPr>
        <w:pStyle w:val="Bibliography"/>
        <w:jc w:val="both"/>
        <w:rPr>
          <w:rFonts w:ascii="Aptos" w:hAnsi="Aptos" w:cs="Linux Libertine O"/>
          <w:sz w:val="24"/>
          <w:szCs w:val="24"/>
        </w:rPr>
      </w:pPr>
      <w:r w:rsidRPr="000363A0">
        <w:rPr>
          <w:rFonts w:ascii="Aptos" w:hAnsi="Aptos" w:cs="Linux Libertine O"/>
          <w:sz w:val="24"/>
          <w:szCs w:val="24"/>
        </w:rPr>
        <w:t>[10]</w:t>
      </w:r>
      <w:r w:rsidRPr="000363A0">
        <w:rPr>
          <w:rFonts w:ascii="Aptos" w:hAnsi="Aptos" w:cs="Linux Libertine O"/>
          <w:sz w:val="24"/>
          <w:szCs w:val="24"/>
        </w:rPr>
        <w:tab/>
        <w:t xml:space="preserve">R. Garg, ‘Supporting the Design of Smart Speakers to Foster a Sense of Ownership in Asian Indian Families’, in Proceedings of the 2022 CHI Conference on Human Factors in Computing Systems, in CHI ’22. New York, NY, USA: Association for Computing Machinery, Apr. 2022, pp. 1–15. </w:t>
      </w:r>
      <w:proofErr w:type="spellStart"/>
      <w:r w:rsidRPr="000363A0">
        <w:rPr>
          <w:rFonts w:ascii="Aptos" w:hAnsi="Aptos" w:cs="Linux Libertine O"/>
          <w:sz w:val="24"/>
          <w:szCs w:val="24"/>
        </w:rPr>
        <w:t>doi</w:t>
      </w:r>
      <w:proofErr w:type="spellEnd"/>
      <w:r w:rsidRPr="000363A0">
        <w:rPr>
          <w:rFonts w:ascii="Aptos" w:hAnsi="Aptos" w:cs="Linux Libertine O"/>
          <w:sz w:val="24"/>
          <w:szCs w:val="24"/>
        </w:rPr>
        <w:t>: 10.1145/3491102.3517680.</w:t>
      </w:r>
    </w:p>
    <w:p w14:paraId="6DF03375" w14:textId="77777777" w:rsidR="009051FF" w:rsidRPr="000363A0" w:rsidRDefault="009051FF" w:rsidP="000363A0">
      <w:pPr>
        <w:pStyle w:val="Bibliography"/>
        <w:jc w:val="both"/>
        <w:rPr>
          <w:rFonts w:ascii="Aptos" w:hAnsi="Aptos" w:cs="Linux Libertine O"/>
          <w:sz w:val="24"/>
          <w:szCs w:val="24"/>
        </w:rPr>
      </w:pPr>
      <w:r w:rsidRPr="000363A0">
        <w:rPr>
          <w:rFonts w:ascii="Aptos" w:hAnsi="Aptos" w:cs="Linux Libertine O"/>
          <w:sz w:val="24"/>
          <w:szCs w:val="24"/>
        </w:rPr>
        <w:t>[11]</w:t>
      </w:r>
      <w:r w:rsidRPr="000363A0">
        <w:rPr>
          <w:rFonts w:ascii="Aptos" w:hAnsi="Aptos" w:cs="Linux Libertine O"/>
          <w:sz w:val="24"/>
          <w:szCs w:val="24"/>
        </w:rPr>
        <w:tab/>
        <w:t xml:space="preserve">J. L. Pierce, T. </w:t>
      </w:r>
      <w:proofErr w:type="spellStart"/>
      <w:r w:rsidRPr="000363A0">
        <w:rPr>
          <w:rFonts w:ascii="Aptos" w:hAnsi="Aptos" w:cs="Linux Libertine O"/>
          <w:sz w:val="24"/>
          <w:szCs w:val="24"/>
        </w:rPr>
        <w:t>Kostova</w:t>
      </w:r>
      <w:proofErr w:type="spellEnd"/>
      <w:r w:rsidRPr="000363A0">
        <w:rPr>
          <w:rFonts w:ascii="Aptos" w:hAnsi="Aptos" w:cs="Linux Libertine O"/>
          <w:sz w:val="24"/>
          <w:szCs w:val="24"/>
        </w:rPr>
        <w:t xml:space="preserve">, and K. T. Dirks, ‘The State of Psychological Ownership: Integrating and Extending a Century of Research’, Rev. Gen. Psychol., vol. 7, no. 1, pp. 84–107, Mar. 2003, </w:t>
      </w:r>
      <w:proofErr w:type="spellStart"/>
      <w:r w:rsidRPr="000363A0">
        <w:rPr>
          <w:rFonts w:ascii="Aptos" w:hAnsi="Aptos" w:cs="Linux Libertine O"/>
          <w:sz w:val="24"/>
          <w:szCs w:val="24"/>
        </w:rPr>
        <w:t>doi</w:t>
      </w:r>
      <w:proofErr w:type="spellEnd"/>
      <w:r w:rsidRPr="000363A0">
        <w:rPr>
          <w:rFonts w:ascii="Aptos" w:hAnsi="Aptos" w:cs="Linux Libertine O"/>
          <w:sz w:val="24"/>
          <w:szCs w:val="24"/>
        </w:rPr>
        <w:t>: 10.1037/1089-2680.7.1.84.</w:t>
      </w:r>
    </w:p>
    <w:p w14:paraId="32F31301" w14:textId="77777777" w:rsidR="009051FF" w:rsidRPr="000363A0" w:rsidRDefault="009051FF" w:rsidP="000363A0">
      <w:pPr>
        <w:pStyle w:val="Bibliography"/>
        <w:jc w:val="both"/>
        <w:rPr>
          <w:rFonts w:ascii="Aptos" w:hAnsi="Aptos" w:cs="Linux Libertine O"/>
          <w:sz w:val="24"/>
          <w:szCs w:val="24"/>
        </w:rPr>
      </w:pPr>
      <w:r w:rsidRPr="000363A0">
        <w:rPr>
          <w:rFonts w:ascii="Aptos" w:hAnsi="Aptos" w:cs="Linux Libertine O"/>
          <w:sz w:val="24"/>
          <w:szCs w:val="24"/>
        </w:rPr>
        <w:t>[12]</w:t>
      </w:r>
      <w:r w:rsidRPr="000363A0">
        <w:rPr>
          <w:rFonts w:ascii="Aptos" w:hAnsi="Aptos" w:cs="Linux Libertine O"/>
          <w:sz w:val="24"/>
          <w:szCs w:val="24"/>
        </w:rPr>
        <w:tab/>
        <w:t>T. Smith, ‘The Disturbing Colonial History of Pumpkin Spice’, Medium. Accessed: Sep. 20, 2023. [Online]. Available: https://tomsmith585.medium.com/the-disturbing-colonial-history-of-pumpkin-spice-fbe62b7e213a</w:t>
      </w:r>
    </w:p>
    <w:p w14:paraId="322CDED0" w14:textId="77777777" w:rsidR="009051FF" w:rsidRPr="000363A0" w:rsidRDefault="009051FF" w:rsidP="000363A0">
      <w:pPr>
        <w:pStyle w:val="Bibliography"/>
        <w:jc w:val="both"/>
        <w:rPr>
          <w:rFonts w:ascii="Aptos" w:hAnsi="Aptos" w:cs="Linux Libertine O"/>
          <w:sz w:val="24"/>
          <w:szCs w:val="24"/>
        </w:rPr>
      </w:pPr>
      <w:r w:rsidRPr="000363A0">
        <w:rPr>
          <w:rFonts w:ascii="Aptos" w:hAnsi="Aptos" w:cs="Linux Libertine O"/>
          <w:sz w:val="24"/>
          <w:szCs w:val="24"/>
        </w:rPr>
        <w:lastRenderedPageBreak/>
        <w:t>[13]</w:t>
      </w:r>
      <w:r w:rsidRPr="000363A0">
        <w:rPr>
          <w:rFonts w:ascii="Aptos" w:hAnsi="Aptos" w:cs="Linux Libertine O"/>
          <w:sz w:val="24"/>
          <w:szCs w:val="24"/>
        </w:rPr>
        <w:tab/>
        <w:t xml:space="preserve">J. </w:t>
      </w:r>
      <w:proofErr w:type="spellStart"/>
      <w:r w:rsidRPr="000363A0">
        <w:rPr>
          <w:rFonts w:ascii="Aptos" w:hAnsi="Aptos" w:cs="Linux Libertine O"/>
          <w:sz w:val="24"/>
          <w:szCs w:val="24"/>
        </w:rPr>
        <w:t>Arekrans</w:t>
      </w:r>
      <w:proofErr w:type="spellEnd"/>
      <w:r w:rsidRPr="000363A0">
        <w:rPr>
          <w:rFonts w:ascii="Aptos" w:hAnsi="Aptos" w:cs="Linux Libertine O"/>
          <w:sz w:val="24"/>
          <w:szCs w:val="24"/>
        </w:rPr>
        <w:t xml:space="preserve">, L. </w:t>
      </w:r>
      <w:proofErr w:type="spellStart"/>
      <w:r w:rsidRPr="000363A0">
        <w:rPr>
          <w:rFonts w:ascii="Aptos" w:hAnsi="Aptos" w:cs="Linux Libertine O"/>
          <w:sz w:val="24"/>
          <w:szCs w:val="24"/>
        </w:rPr>
        <w:t>Sopjani</w:t>
      </w:r>
      <w:proofErr w:type="spellEnd"/>
      <w:r w:rsidRPr="000363A0">
        <w:rPr>
          <w:rFonts w:ascii="Aptos" w:hAnsi="Aptos" w:cs="Linux Libertine O"/>
          <w:sz w:val="24"/>
          <w:szCs w:val="24"/>
        </w:rPr>
        <w:t xml:space="preserve">, R. </w:t>
      </w:r>
      <w:proofErr w:type="spellStart"/>
      <w:r w:rsidRPr="000363A0">
        <w:rPr>
          <w:rFonts w:ascii="Aptos" w:hAnsi="Aptos" w:cs="Linux Libertine O"/>
          <w:sz w:val="24"/>
          <w:szCs w:val="24"/>
        </w:rPr>
        <w:t>Laurenti</w:t>
      </w:r>
      <w:proofErr w:type="spellEnd"/>
      <w:r w:rsidRPr="000363A0">
        <w:rPr>
          <w:rFonts w:ascii="Aptos" w:hAnsi="Aptos" w:cs="Linux Libertine O"/>
          <w:sz w:val="24"/>
          <w:szCs w:val="24"/>
        </w:rPr>
        <w:t xml:space="preserve">, and S. </w:t>
      </w:r>
      <w:proofErr w:type="spellStart"/>
      <w:r w:rsidRPr="000363A0">
        <w:rPr>
          <w:rFonts w:ascii="Aptos" w:hAnsi="Aptos" w:cs="Linux Libertine O"/>
          <w:sz w:val="24"/>
          <w:szCs w:val="24"/>
        </w:rPr>
        <w:t>Ritzén</w:t>
      </w:r>
      <w:proofErr w:type="spellEnd"/>
      <w:r w:rsidRPr="000363A0">
        <w:rPr>
          <w:rFonts w:ascii="Aptos" w:hAnsi="Aptos" w:cs="Linux Libertine O"/>
          <w:sz w:val="24"/>
          <w:szCs w:val="24"/>
        </w:rPr>
        <w:t xml:space="preserve">, ‘Barriers to access-based consumption in the circular transition: A systematic review’, </w:t>
      </w:r>
      <w:proofErr w:type="spellStart"/>
      <w:r w:rsidRPr="000363A0">
        <w:rPr>
          <w:rFonts w:ascii="Aptos" w:hAnsi="Aptos" w:cs="Linux Libertine O"/>
          <w:sz w:val="24"/>
          <w:szCs w:val="24"/>
        </w:rPr>
        <w:t>Resour</w:t>
      </w:r>
      <w:proofErr w:type="spellEnd"/>
      <w:r w:rsidRPr="000363A0">
        <w:rPr>
          <w:rFonts w:ascii="Aptos" w:hAnsi="Aptos" w:cs="Linux Libertine O"/>
          <w:sz w:val="24"/>
          <w:szCs w:val="24"/>
        </w:rPr>
        <w:t xml:space="preserve">. </w:t>
      </w:r>
      <w:proofErr w:type="spellStart"/>
      <w:r w:rsidRPr="000363A0">
        <w:rPr>
          <w:rFonts w:ascii="Aptos" w:hAnsi="Aptos" w:cs="Linux Libertine O"/>
          <w:sz w:val="24"/>
          <w:szCs w:val="24"/>
        </w:rPr>
        <w:t>Conserv</w:t>
      </w:r>
      <w:proofErr w:type="spellEnd"/>
      <w:r w:rsidRPr="000363A0">
        <w:rPr>
          <w:rFonts w:ascii="Aptos" w:hAnsi="Aptos" w:cs="Linux Libertine O"/>
          <w:sz w:val="24"/>
          <w:szCs w:val="24"/>
        </w:rPr>
        <w:t xml:space="preserve">. </w:t>
      </w:r>
      <w:proofErr w:type="spellStart"/>
      <w:r w:rsidRPr="000363A0">
        <w:rPr>
          <w:rFonts w:ascii="Aptos" w:hAnsi="Aptos" w:cs="Linux Libertine O"/>
          <w:sz w:val="24"/>
          <w:szCs w:val="24"/>
        </w:rPr>
        <w:t>Recycl</w:t>
      </w:r>
      <w:proofErr w:type="spellEnd"/>
      <w:r w:rsidRPr="000363A0">
        <w:rPr>
          <w:rFonts w:ascii="Aptos" w:hAnsi="Aptos" w:cs="Linux Libertine O"/>
          <w:sz w:val="24"/>
          <w:szCs w:val="24"/>
        </w:rPr>
        <w:t xml:space="preserve">., vol. 184, p. 106364, Sep. 2022, </w:t>
      </w:r>
      <w:proofErr w:type="spellStart"/>
      <w:r w:rsidRPr="000363A0">
        <w:rPr>
          <w:rFonts w:ascii="Aptos" w:hAnsi="Aptos" w:cs="Linux Libertine O"/>
          <w:sz w:val="24"/>
          <w:szCs w:val="24"/>
        </w:rPr>
        <w:t>doi</w:t>
      </w:r>
      <w:proofErr w:type="spellEnd"/>
      <w:r w:rsidRPr="000363A0">
        <w:rPr>
          <w:rFonts w:ascii="Aptos" w:hAnsi="Aptos" w:cs="Linux Libertine O"/>
          <w:sz w:val="24"/>
          <w:szCs w:val="24"/>
        </w:rPr>
        <w:t>: 10.1016/j.resconrec.2022.106364.</w:t>
      </w:r>
    </w:p>
    <w:p w14:paraId="7E6C960B" w14:textId="77777777" w:rsidR="009051FF" w:rsidRPr="000363A0" w:rsidRDefault="009051FF" w:rsidP="000363A0">
      <w:pPr>
        <w:pStyle w:val="Bibliography"/>
        <w:jc w:val="both"/>
        <w:rPr>
          <w:rFonts w:ascii="Aptos" w:hAnsi="Aptos" w:cs="Linux Libertine O"/>
          <w:sz w:val="24"/>
          <w:szCs w:val="24"/>
        </w:rPr>
      </w:pPr>
      <w:r w:rsidRPr="000363A0">
        <w:rPr>
          <w:rFonts w:ascii="Aptos" w:hAnsi="Aptos" w:cs="Linux Libertine O"/>
          <w:sz w:val="24"/>
          <w:szCs w:val="24"/>
        </w:rPr>
        <w:t>[14]</w:t>
      </w:r>
      <w:r w:rsidRPr="000363A0">
        <w:rPr>
          <w:rFonts w:ascii="Aptos" w:hAnsi="Aptos" w:cs="Linux Libertine O"/>
          <w:sz w:val="24"/>
          <w:szCs w:val="24"/>
        </w:rPr>
        <w:tab/>
        <w:t xml:space="preserve">D. </w:t>
      </w:r>
      <w:proofErr w:type="spellStart"/>
      <w:r w:rsidRPr="000363A0">
        <w:rPr>
          <w:rFonts w:ascii="Aptos" w:hAnsi="Aptos" w:cs="Linux Libertine O"/>
          <w:sz w:val="24"/>
          <w:szCs w:val="24"/>
        </w:rPr>
        <w:t>Buhalis</w:t>
      </w:r>
      <w:proofErr w:type="spellEnd"/>
      <w:r w:rsidRPr="000363A0">
        <w:rPr>
          <w:rFonts w:ascii="Aptos" w:hAnsi="Aptos" w:cs="Linux Libertine O"/>
          <w:sz w:val="24"/>
          <w:szCs w:val="24"/>
        </w:rPr>
        <w:t xml:space="preserve">, L. Andreu, and J. </w:t>
      </w:r>
      <w:proofErr w:type="spellStart"/>
      <w:r w:rsidRPr="000363A0">
        <w:rPr>
          <w:rFonts w:ascii="Aptos" w:hAnsi="Aptos" w:cs="Linux Libertine O"/>
          <w:sz w:val="24"/>
          <w:szCs w:val="24"/>
        </w:rPr>
        <w:t>Gnoth</w:t>
      </w:r>
      <w:proofErr w:type="spellEnd"/>
      <w:r w:rsidRPr="000363A0">
        <w:rPr>
          <w:rFonts w:ascii="Aptos" w:hAnsi="Aptos" w:cs="Linux Libertine O"/>
          <w:sz w:val="24"/>
          <w:szCs w:val="24"/>
        </w:rPr>
        <w:t xml:space="preserve">, ‘The dark side of the sharing economy: Balancing value co-creation and value co-destruction’, Psychol. Mark., vol. 37, no. 5, pp. 689–704, 2020, </w:t>
      </w:r>
      <w:proofErr w:type="spellStart"/>
      <w:r w:rsidRPr="000363A0">
        <w:rPr>
          <w:rFonts w:ascii="Aptos" w:hAnsi="Aptos" w:cs="Linux Libertine O"/>
          <w:sz w:val="24"/>
          <w:szCs w:val="24"/>
        </w:rPr>
        <w:t>doi</w:t>
      </w:r>
      <w:proofErr w:type="spellEnd"/>
      <w:r w:rsidRPr="000363A0">
        <w:rPr>
          <w:rFonts w:ascii="Aptos" w:hAnsi="Aptos" w:cs="Linux Libertine O"/>
          <w:sz w:val="24"/>
          <w:szCs w:val="24"/>
        </w:rPr>
        <w:t>: 10.1002/mar.21344.</w:t>
      </w:r>
    </w:p>
    <w:p w14:paraId="53FA1EE2" w14:textId="7EE1068D" w:rsidR="000363A0" w:rsidRPr="000363A0" w:rsidRDefault="009051FF" w:rsidP="000363A0">
      <w:pPr>
        <w:jc w:val="both"/>
        <w:rPr>
          <w:rFonts w:ascii="Aptos" w:hAnsi="Aptos"/>
        </w:rPr>
      </w:pPr>
      <w:r w:rsidRPr="000363A0">
        <w:rPr>
          <w:rFonts w:ascii="Aptos" w:hAnsi="Aptos"/>
        </w:rPr>
        <w:fldChar w:fldCharType="end"/>
      </w:r>
    </w:p>
    <w:p w14:paraId="19C54251" w14:textId="77777777" w:rsidR="000363A0" w:rsidRPr="000363A0" w:rsidRDefault="000363A0" w:rsidP="000363A0">
      <w:pPr>
        <w:jc w:val="both"/>
        <w:rPr>
          <w:rFonts w:ascii="Aptos" w:hAnsi="Aptos"/>
        </w:rPr>
      </w:pPr>
      <w:r w:rsidRPr="000363A0">
        <w:rPr>
          <w:rFonts w:ascii="Aptos" w:hAnsi="Aptos"/>
        </w:rPr>
        <w:br w:type="page"/>
      </w:r>
    </w:p>
    <w:p w14:paraId="45AFA886" w14:textId="77777777" w:rsidR="009051FF" w:rsidRPr="000363A0" w:rsidRDefault="009051FF" w:rsidP="000363A0">
      <w:pPr>
        <w:jc w:val="both"/>
        <w:rPr>
          <w:rFonts w:ascii="Aptos" w:hAnsi="Aptos"/>
        </w:rPr>
      </w:pPr>
    </w:p>
    <w:p w14:paraId="19F2E5C1" w14:textId="7B009790" w:rsidR="000363A0" w:rsidRPr="000363A0" w:rsidRDefault="000363A0" w:rsidP="000363A0">
      <w:pPr>
        <w:pStyle w:val="ListParagraph"/>
        <w:numPr>
          <w:ilvl w:val="0"/>
          <w:numId w:val="1"/>
        </w:numPr>
        <w:jc w:val="both"/>
        <w:rPr>
          <w:rFonts w:ascii="Aptos" w:hAnsi="Aptos"/>
        </w:rPr>
      </w:pPr>
      <w:r w:rsidRPr="000363A0">
        <w:rPr>
          <w:rFonts w:ascii="Aptos" w:hAnsi="Aptos" w:cs="AppleSystemUIFont"/>
        </w:rPr>
        <w:t xml:space="preserve"> </w:t>
      </w:r>
      <w:r w:rsidRPr="000363A0">
        <w:rPr>
          <w:rFonts w:ascii="Aptos" w:hAnsi="Aptos" w:cs="AppleSystemUIFont"/>
        </w:rPr>
        <w:t xml:space="preserve">Sebastian </w:t>
      </w:r>
      <w:proofErr w:type="gramStart"/>
      <w:r w:rsidRPr="000363A0">
        <w:rPr>
          <w:rFonts w:ascii="Aptos" w:hAnsi="Aptos" w:cs="AppleSystemUIFont"/>
        </w:rPr>
        <w:t>Prost</w:t>
      </w:r>
      <w:r w:rsidRPr="000363A0">
        <w:rPr>
          <w:rFonts w:ascii="Aptos" w:hAnsi="Aptos" w:cs="AppleSystemUIFont"/>
        </w:rPr>
        <w:t xml:space="preserve">  and</w:t>
      </w:r>
      <w:proofErr w:type="gramEnd"/>
      <w:r w:rsidRPr="000363A0">
        <w:rPr>
          <w:rFonts w:ascii="Aptos" w:hAnsi="Aptos" w:cs="AppleSystemUIFont"/>
        </w:rPr>
        <w:t xml:space="preserve"> Henry </w:t>
      </w:r>
      <w:proofErr w:type="spellStart"/>
      <w:r w:rsidRPr="000363A0">
        <w:rPr>
          <w:rFonts w:ascii="Aptos" w:hAnsi="Aptos" w:cs="AppleSystemUIFont"/>
        </w:rPr>
        <w:t>Collingham</w:t>
      </w:r>
      <w:proofErr w:type="spellEnd"/>
      <w:r w:rsidRPr="000363A0">
        <w:rPr>
          <w:rFonts w:ascii="Aptos" w:hAnsi="Aptos" w:cs="AppleSystemUIFont"/>
        </w:rPr>
        <w:t>.</w:t>
      </w:r>
    </w:p>
    <w:p w14:paraId="009A1284" w14:textId="77777777" w:rsidR="000363A0" w:rsidRPr="000363A0" w:rsidRDefault="000363A0" w:rsidP="000363A0">
      <w:pPr>
        <w:jc w:val="both"/>
        <w:rPr>
          <w:rFonts w:ascii="Aptos" w:hAnsi="Aptos"/>
        </w:rPr>
      </w:pPr>
    </w:p>
    <w:p w14:paraId="6A888073" w14:textId="77777777" w:rsidR="000363A0" w:rsidRPr="000363A0" w:rsidRDefault="000363A0" w:rsidP="000363A0">
      <w:pPr>
        <w:jc w:val="both"/>
        <w:rPr>
          <w:rFonts w:ascii="Aptos" w:hAnsi="Aptos"/>
        </w:rPr>
      </w:pPr>
    </w:p>
    <w:p w14:paraId="7573D03C" w14:textId="77777777" w:rsidR="000363A0" w:rsidRPr="000363A0" w:rsidRDefault="000363A0" w:rsidP="000363A0">
      <w:pPr>
        <w:autoSpaceDE w:val="0"/>
        <w:autoSpaceDN w:val="0"/>
        <w:adjustRightInd w:val="0"/>
        <w:jc w:val="both"/>
        <w:rPr>
          <w:rFonts w:ascii="Aptos" w:hAnsi="Aptos" w:cs="Times New Roman"/>
        </w:rPr>
      </w:pPr>
      <w:r w:rsidRPr="000363A0">
        <w:rPr>
          <w:rFonts w:ascii="Aptos" w:hAnsi="Aptos" w:cs="Times New Roman"/>
        </w:rPr>
        <w:t>Probing the Internet of (Small) Farm Things</w:t>
      </w:r>
    </w:p>
    <w:p w14:paraId="77088F6B" w14:textId="77777777" w:rsidR="000363A0" w:rsidRPr="000363A0" w:rsidRDefault="000363A0" w:rsidP="000363A0">
      <w:pPr>
        <w:autoSpaceDE w:val="0"/>
        <w:autoSpaceDN w:val="0"/>
        <w:adjustRightInd w:val="0"/>
        <w:jc w:val="both"/>
        <w:rPr>
          <w:rFonts w:ascii="Aptos" w:hAnsi="Aptos" w:cs="Times New Roman"/>
        </w:rPr>
      </w:pPr>
      <w:r w:rsidRPr="000363A0">
        <w:rPr>
          <w:rFonts w:ascii="Aptos" w:hAnsi="Aptos" w:cs="Times New Roman"/>
        </w:rPr>
        <w:t>Sebastian Prost</w:t>
      </w:r>
    </w:p>
    <w:p w14:paraId="1E730538" w14:textId="77777777" w:rsidR="000363A0" w:rsidRPr="000363A0" w:rsidRDefault="000363A0" w:rsidP="000363A0">
      <w:pPr>
        <w:autoSpaceDE w:val="0"/>
        <w:autoSpaceDN w:val="0"/>
        <w:adjustRightInd w:val="0"/>
        <w:jc w:val="both"/>
        <w:rPr>
          <w:rFonts w:ascii="Aptos" w:hAnsi="Aptos" w:cs="Times New Roman"/>
        </w:rPr>
      </w:pPr>
      <w:r w:rsidRPr="000363A0">
        <w:rPr>
          <w:rFonts w:ascii="Aptos" w:hAnsi="Aptos" w:cs="Times New Roman"/>
        </w:rPr>
        <w:t>Northumbria University, sebastian.prost@northumbria.ac.uk</w:t>
      </w:r>
    </w:p>
    <w:p w14:paraId="3D9BE6DF" w14:textId="77777777" w:rsidR="000363A0" w:rsidRPr="000363A0" w:rsidRDefault="000363A0" w:rsidP="000363A0">
      <w:pPr>
        <w:autoSpaceDE w:val="0"/>
        <w:autoSpaceDN w:val="0"/>
        <w:adjustRightInd w:val="0"/>
        <w:jc w:val="both"/>
        <w:rPr>
          <w:rFonts w:ascii="Aptos" w:hAnsi="Aptos" w:cs="Times New Roman"/>
        </w:rPr>
      </w:pPr>
      <w:r w:rsidRPr="000363A0">
        <w:rPr>
          <w:rFonts w:ascii="Aptos" w:hAnsi="Aptos" w:cs="Times New Roman"/>
        </w:rPr>
        <w:t xml:space="preserve">Henry </w:t>
      </w:r>
      <w:proofErr w:type="spellStart"/>
      <w:r w:rsidRPr="000363A0">
        <w:rPr>
          <w:rFonts w:ascii="Aptos" w:hAnsi="Aptos" w:cs="Times New Roman"/>
        </w:rPr>
        <w:t>Collingham</w:t>
      </w:r>
      <w:proofErr w:type="spellEnd"/>
    </w:p>
    <w:p w14:paraId="20F4D553" w14:textId="77777777" w:rsidR="000363A0" w:rsidRPr="000363A0" w:rsidRDefault="000363A0" w:rsidP="000363A0">
      <w:pPr>
        <w:autoSpaceDE w:val="0"/>
        <w:autoSpaceDN w:val="0"/>
        <w:adjustRightInd w:val="0"/>
        <w:jc w:val="both"/>
        <w:rPr>
          <w:rFonts w:ascii="Aptos" w:hAnsi="Aptos" w:cs="Times New Roman"/>
        </w:rPr>
      </w:pPr>
      <w:r w:rsidRPr="000363A0">
        <w:rPr>
          <w:rFonts w:ascii="Aptos" w:hAnsi="Aptos" w:cs="Times New Roman"/>
        </w:rPr>
        <w:t>Northumbria University, henry.w.r.collingham@northumbria.ac.uk</w:t>
      </w:r>
    </w:p>
    <w:p w14:paraId="11861832" w14:textId="77777777" w:rsidR="000363A0" w:rsidRPr="000363A0" w:rsidRDefault="000363A0" w:rsidP="000363A0">
      <w:pPr>
        <w:autoSpaceDE w:val="0"/>
        <w:autoSpaceDN w:val="0"/>
        <w:adjustRightInd w:val="0"/>
        <w:jc w:val="both"/>
        <w:rPr>
          <w:rFonts w:ascii="Aptos" w:hAnsi="Aptos" w:cs="Times New Roman"/>
        </w:rPr>
      </w:pPr>
    </w:p>
    <w:p w14:paraId="6BA8A299" w14:textId="527299E0" w:rsidR="000363A0" w:rsidRPr="000363A0" w:rsidRDefault="000363A0" w:rsidP="000363A0">
      <w:pPr>
        <w:autoSpaceDE w:val="0"/>
        <w:autoSpaceDN w:val="0"/>
        <w:adjustRightInd w:val="0"/>
        <w:jc w:val="both"/>
        <w:rPr>
          <w:rFonts w:ascii="Aptos" w:hAnsi="Aptos" w:cs="Times New Roman"/>
        </w:rPr>
      </w:pPr>
      <w:r w:rsidRPr="000363A0">
        <w:rPr>
          <w:rFonts w:ascii="Aptos" w:hAnsi="Aptos" w:cs="Times New Roman"/>
        </w:rPr>
        <w:t>1 INTRODUCTION &amp; BACKGROUND</w:t>
      </w:r>
    </w:p>
    <w:p w14:paraId="55E27E49" w14:textId="24D43740" w:rsidR="000363A0" w:rsidRPr="000363A0" w:rsidRDefault="000363A0" w:rsidP="000363A0">
      <w:pPr>
        <w:autoSpaceDE w:val="0"/>
        <w:autoSpaceDN w:val="0"/>
        <w:adjustRightInd w:val="0"/>
        <w:jc w:val="both"/>
        <w:rPr>
          <w:rFonts w:ascii="Aptos" w:hAnsi="Aptos" w:cs="Times New Roman"/>
        </w:rPr>
      </w:pPr>
    </w:p>
    <w:p w14:paraId="4C27FF2F" w14:textId="4240CE56" w:rsidR="000363A0" w:rsidRPr="000363A0" w:rsidRDefault="000363A0" w:rsidP="000363A0">
      <w:pPr>
        <w:autoSpaceDE w:val="0"/>
        <w:autoSpaceDN w:val="0"/>
        <w:adjustRightInd w:val="0"/>
        <w:jc w:val="both"/>
        <w:rPr>
          <w:rFonts w:ascii="Aptos" w:hAnsi="Aptos" w:cs="Times New Roman"/>
        </w:rPr>
      </w:pPr>
    </w:p>
    <w:p w14:paraId="6FFB84A1" w14:textId="7B5A4E16" w:rsidR="000363A0" w:rsidRPr="000363A0" w:rsidRDefault="000363A0" w:rsidP="000363A0">
      <w:pPr>
        <w:autoSpaceDE w:val="0"/>
        <w:autoSpaceDN w:val="0"/>
        <w:adjustRightInd w:val="0"/>
        <w:jc w:val="both"/>
        <w:rPr>
          <w:rFonts w:ascii="Aptos" w:hAnsi="Aptos" w:cs="Times New Roman"/>
        </w:rPr>
      </w:pPr>
      <w:r w:rsidRPr="000363A0">
        <w:rPr>
          <w:rFonts w:ascii="Aptos" w:hAnsi="Aptos" w:cs="Times New Roman"/>
        </w:rPr>
        <w:t>IoT devices are key components in future visions of data-driven farming. Connected sensors provide real-time data from</w:t>
      </w:r>
      <w:r w:rsidRPr="000363A0">
        <w:rPr>
          <w:rFonts w:ascii="Aptos" w:hAnsi="Aptos" w:cs="Times New Roman"/>
        </w:rPr>
        <w:t xml:space="preserve"> </w:t>
      </w:r>
      <w:r w:rsidRPr="000363A0">
        <w:rPr>
          <w:rFonts w:ascii="Aptos" w:hAnsi="Aptos" w:cs="Times New Roman"/>
        </w:rPr>
        <w:t>the environment, soil, plants, and animals to enable precision farming through drones, robots, and tractors, promising to</w:t>
      </w:r>
      <w:r w:rsidRPr="000363A0">
        <w:rPr>
          <w:rFonts w:ascii="Aptos" w:hAnsi="Aptos" w:cs="Times New Roman"/>
        </w:rPr>
        <w:t xml:space="preserve"> </w:t>
      </w:r>
      <w:r w:rsidRPr="000363A0">
        <w:rPr>
          <w:rFonts w:ascii="Aptos" w:hAnsi="Aptos" w:cs="Times New Roman"/>
        </w:rPr>
        <w:t>improve productivity and sustainability [1, 5]. However, many such technologies continue and greenwash the industrial</w:t>
      </w:r>
      <w:r w:rsidRPr="000363A0">
        <w:rPr>
          <w:rFonts w:ascii="Aptos" w:hAnsi="Aptos" w:cs="Times New Roman"/>
        </w:rPr>
        <w:t xml:space="preserve"> </w:t>
      </w:r>
      <w:r w:rsidRPr="000363A0">
        <w:rPr>
          <w:rFonts w:ascii="Aptos" w:hAnsi="Aptos" w:cs="Times New Roman"/>
        </w:rPr>
        <w:t>unsustainable model of agriculture. Smallholder farmers, who typically already practice sustainable forms of agriculture,</w:t>
      </w:r>
      <w:r w:rsidRPr="000363A0">
        <w:rPr>
          <w:rFonts w:ascii="Aptos" w:hAnsi="Aptos" w:cs="Times New Roman"/>
        </w:rPr>
        <w:t xml:space="preserve"> </w:t>
      </w:r>
      <w:r w:rsidRPr="000363A0">
        <w:rPr>
          <w:rFonts w:ascii="Aptos" w:hAnsi="Aptos" w:cs="Times New Roman"/>
        </w:rPr>
        <w:t xml:space="preserve">are further marginalised and </w:t>
      </w:r>
      <w:proofErr w:type="gramStart"/>
      <w:r w:rsidRPr="000363A0">
        <w:rPr>
          <w:rFonts w:ascii="Aptos" w:hAnsi="Aptos" w:cs="Times New Roman"/>
        </w:rPr>
        <w:t>economically disadvantaged</w:t>
      </w:r>
      <w:proofErr w:type="gramEnd"/>
      <w:r w:rsidRPr="000363A0">
        <w:rPr>
          <w:rFonts w:ascii="Aptos" w:hAnsi="Aptos" w:cs="Times New Roman"/>
        </w:rPr>
        <w:t xml:space="preserve"> [2–4].</w:t>
      </w:r>
    </w:p>
    <w:p w14:paraId="18CD6090" w14:textId="77777777" w:rsidR="000363A0" w:rsidRPr="000363A0" w:rsidRDefault="000363A0" w:rsidP="000363A0">
      <w:pPr>
        <w:autoSpaceDE w:val="0"/>
        <w:autoSpaceDN w:val="0"/>
        <w:adjustRightInd w:val="0"/>
        <w:jc w:val="both"/>
        <w:rPr>
          <w:rFonts w:ascii="Aptos" w:hAnsi="Aptos" w:cs="Times New Roman"/>
        </w:rPr>
      </w:pPr>
    </w:p>
    <w:p w14:paraId="7290F082" w14:textId="630F3AFF" w:rsidR="000363A0" w:rsidRPr="000363A0" w:rsidRDefault="000363A0" w:rsidP="000363A0">
      <w:pPr>
        <w:autoSpaceDE w:val="0"/>
        <w:autoSpaceDN w:val="0"/>
        <w:adjustRightInd w:val="0"/>
        <w:jc w:val="both"/>
        <w:rPr>
          <w:rFonts w:ascii="Aptos" w:hAnsi="Aptos" w:cs="Times New Roman"/>
        </w:rPr>
      </w:pPr>
      <w:r w:rsidRPr="000363A0">
        <w:rPr>
          <w:rFonts w:ascii="Aptos" w:hAnsi="Aptos" w:cs="Times New Roman"/>
        </w:rPr>
        <w:t>In this research, we ask what an Internet of Farm things might look like that is socially responsible, sustainable, and</w:t>
      </w:r>
      <w:r w:rsidRPr="000363A0">
        <w:rPr>
          <w:rFonts w:ascii="Aptos" w:hAnsi="Aptos" w:cs="Times New Roman"/>
        </w:rPr>
        <w:t xml:space="preserve"> </w:t>
      </w:r>
      <w:r w:rsidRPr="000363A0">
        <w:rPr>
          <w:rFonts w:ascii="Aptos" w:hAnsi="Aptos" w:cs="Times New Roman"/>
        </w:rPr>
        <w:t>appropriate for smallholder farms. We conducted farm visits and interviews on 10 such farms in Northern England. The</w:t>
      </w:r>
      <w:r>
        <w:rPr>
          <w:rFonts w:ascii="Aptos" w:hAnsi="Aptos" w:cs="Times New Roman"/>
        </w:rPr>
        <w:t xml:space="preserve"> </w:t>
      </w:r>
      <w:r w:rsidRPr="000363A0">
        <w:rPr>
          <w:rFonts w:ascii="Aptos" w:hAnsi="Aptos" w:cs="Times New Roman"/>
        </w:rPr>
        <w:t>data highlighted several tensions around the use of IoT and digital technology more broadly on farms. Building on these</w:t>
      </w:r>
      <w:r w:rsidRPr="000363A0">
        <w:rPr>
          <w:rFonts w:ascii="Aptos" w:hAnsi="Aptos" w:cs="Times New Roman"/>
        </w:rPr>
        <w:t xml:space="preserve"> </w:t>
      </w:r>
      <w:r w:rsidRPr="000363A0">
        <w:rPr>
          <w:rFonts w:ascii="Aptos" w:hAnsi="Aptos" w:cs="Times New Roman"/>
        </w:rPr>
        <w:t>tensions, we developed 8 speculative design probes. The probes are intended to challenge conceptions of IoT, question</w:t>
      </w:r>
      <w:r w:rsidRPr="000363A0">
        <w:rPr>
          <w:rFonts w:ascii="Aptos" w:hAnsi="Aptos" w:cs="Times New Roman"/>
        </w:rPr>
        <w:t xml:space="preserve"> </w:t>
      </w:r>
      <w:r w:rsidRPr="000363A0">
        <w:rPr>
          <w:rFonts w:ascii="Aptos" w:hAnsi="Aptos" w:cs="Times New Roman"/>
        </w:rPr>
        <w:t>material and aesthetic qualities of IoT, and point to opportunities for responsible IoT on farms. Deliberately unfinished,</w:t>
      </w:r>
      <w:r w:rsidRPr="000363A0">
        <w:rPr>
          <w:rFonts w:ascii="Aptos" w:hAnsi="Aptos" w:cs="Times New Roman"/>
        </w:rPr>
        <w:t xml:space="preserve"> </w:t>
      </w:r>
      <w:r w:rsidRPr="000363A0">
        <w:rPr>
          <w:rFonts w:ascii="Aptos" w:hAnsi="Aptos" w:cs="Times New Roman"/>
        </w:rPr>
        <w:t>speculative, playful, or even silly, they come in the form of ‘seed packets’ (see Figure 1), seeding ideas that we hope to</w:t>
      </w:r>
      <w:r w:rsidRPr="000363A0">
        <w:rPr>
          <w:rFonts w:ascii="Aptos" w:hAnsi="Aptos" w:cs="Times New Roman"/>
        </w:rPr>
        <w:t xml:space="preserve"> </w:t>
      </w:r>
      <w:r w:rsidRPr="000363A0">
        <w:rPr>
          <w:rFonts w:ascii="Aptos" w:hAnsi="Aptos" w:cs="Times New Roman"/>
        </w:rPr>
        <w:t>grow with our participants in future co-design activities. Each seed packet presents a futuristic technology and includes a</w:t>
      </w:r>
      <w:r w:rsidRPr="000363A0">
        <w:rPr>
          <w:rFonts w:ascii="Aptos" w:hAnsi="Aptos" w:cs="Times New Roman"/>
        </w:rPr>
        <w:t xml:space="preserve"> </w:t>
      </w:r>
      <w:r w:rsidRPr="000363A0">
        <w:rPr>
          <w:rFonts w:ascii="Aptos" w:hAnsi="Aptos" w:cs="Times New Roman"/>
        </w:rPr>
        <w:t>small task to complete. We present 3 of these probes below.</w:t>
      </w:r>
    </w:p>
    <w:p w14:paraId="45FC125A" w14:textId="77777777" w:rsidR="000363A0" w:rsidRPr="000363A0" w:rsidRDefault="000363A0" w:rsidP="000363A0">
      <w:pPr>
        <w:autoSpaceDE w:val="0"/>
        <w:autoSpaceDN w:val="0"/>
        <w:adjustRightInd w:val="0"/>
        <w:jc w:val="both"/>
        <w:rPr>
          <w:rFonts w:ascii="Aptos" w:hAnsi="Aptos" w:cs="Times New Roman"/>
        </w:rPr>
      </w:pPr>
    </w:p>
    <w:p w14:paraId="5494117F" w14:textId="77777777" w:rsidR="000363A0" w:rsidRPr="000363A0" w:rsidRDefault="000363A0" w:rsidP="000363A0">
      <w:pPr>
        <w:autoSpaceDE w:val="0"/>
        <w:autoSpaceDN w:val="0"/>
        <w:adjustRightInd w:val="0"/>
        <w:jc w:val="both"/>
        <w:rPr>
          <w:rFonts w:ascii="Aptos" w:hAnsi="Aptos" w:cs="Times New Roman"/>
        </w:rPr>
      </w:pPr>
    </w:p>
    <w:p w14:paraId="3D67958D" w14:textId="77777777" w:rsidR="000363A0" w:rsidRDefault="000363A0" w:rsidP="000363A0">
      <w:pPr>
        <w:autoSpaceDE w:val="0"/>
        <w:autoSpaceDN w:val="0"/>
        <w:adjustRightInd w:val="0"/>
        <w:jc w:val="both"/>
        <w:rPr>
          <w:rFonts w:ascii="Aptos" w:hAnsi="Aptos" w:cs="Times New Roman"/>
        </w:rPr>
      </w:pPr>
      <w:r w:rsidRPr="000363A0">
        <w:rPr>
          <w:rFonts w:ascii="Aptos" w:hAnsi="Aptos" w:cs="Times New Roman"/>
        </w:rPr>
        <w:t>2 THE PAPER MILL</w:t>
      </w:r>
    </w:p>
    <w:p w14:paraId="6ED9E75B" w14:textId="77777777" w:rsidR="000363A0" w:rsidRPr="000363A0" w:rsidRDefault="000363A0" w:rsidP="000363A0">
      <w:pPr>
        <w:autoSpaceDE w:val="0"/>
        <w:autoSpaceDN w:val="0"/>
        <w:adjustRightInd w:val="0"/>
        <w:jc w:val="both"/>
        <w:rPr>
          <w:rFonts w:ascii="Aptos" w:hAnsi="Aptos" w:cs="Times New Roman"/>
        </w:rPr>
      </w:pPr>
    </w:p>
    <w:p w14:paraId="49E11278" w14:textId="77777777" w:rsidR="000363A0" w:rsidRPr="000363A0" w:rsidRDefault="000363A0" w:rsidP="000363A0">
      <w:pPr>
        <w:autoSpaceDE w:val="0"/>
        <w:autoSpaceDN w:val="0"/>
        <w:adjustRightInd w:val="0"/>
        <w:jc w:val="both"/>
        <w:rPr>
          <w:rFonts w:ascii="Aptos" w:hAnsi="Aptos" w:cs="Times New Roman"/>
        </w:rPr>
      </w:pPr>
      <w:r w:rsidRPr="000363A0">
        <w:rPr>
          <w:rFonts w:ascii="Aptos" w:hAnsi="Aptos" w:cs="Times New Roman"/>
        </w:rPr>
        <w:t>The Paper Mill challenges assumptions that technology necessarily automate and replace manual labour. Instead, the Paper</w:t>
      </w:r>
    </w:p>
    <w:p w14:paraId="60872DF5" w14:textId="13E5BF29" w:rsidR="000363A0" w:rsidRPr="000363A0" w:rsidRDefault="000363A0" w:rsidP="000363A0">
      <w:pPr>
        <w:autoSpaceDE w:val="0"/>
        <w:autoSpaceDN w:val="0"/>
        <w:adjustRightInd w:val="0"/>
        <w:jc w:val="both"/>
        <w:rPr>
          <w:rFonts w:ascii="Aptos" w:hAnsi="Aptos" w:cs="Times New Roman"/>
        </w:rPr>
      </w:pPr>
      <w:r w:rsidRPr="000363A0">
        <w:rPr>
          <w:rFonts w:ascii="Aptos" w:hAnsi="Aptos" w:cs="Times New Roman"/>
        </w:rPr>
        <w:t>Mill is an AI device that does all the boring chores that our participants do not like doing – paperwork. The probe (see</w:t>
      </w:r>
      <w:r w:rsidRPr="000363A0">
        <w:rPr>
          <w:rFonts w:ascii="Aptos" w:hAnsi="Aptos" w:cs="Times New Roman"/>
        </w:rPr>
        <w:t xml:space="preserve"> </w:t>
      </w:r>
      <w:r w:rsidRPr="000363A0">
        <w:rPr>
          <w:rFonts w:ascii="Aptos" w:hAnsi="Aptos" w:cs="Times New Roman"/>
        </w:rPr>
        <w:t>Figure 1) consists of an illustration and description of the technology and a simple card sorting activity, in which</w:t>
      </w:r>
      <w:r w:rsidRPr="000363A0">
        <w:rPr>
          <w:rFonts w:ascii="Aptos" w:hAnsi="Aptos" w:cs="Times New Roman"/>
        </w:rPr>
        <w:t xml:space="preserve"> </w:t>
      </w:r>
      <w:r w:rsidRPr="000363A0">
        <w:rPr>
          <w:rFonts w:ascii="Aptos" w:hAnsi="Aptos" w:cs="Times New Roman"/>
        </w:rPr>
        <w:t>participants are asked to decide if they want a particular data task (e.g., tax return, invoice, grant application, customer</w:t>
      </w:r>
    </w:p>
    <w:p w14:paraId="3CFAF888" w14:textId="77777777" w:rsidR="000363A0" w:rsidRPr="000363A0" w:rsidRDefault="000363A0" w:rsidP="000363A0">
      <w:pPr>
        <w:autoSpaceDE w:val="0"/>
        <w:autoSpaceDN w:val="0"/>
        <w:adjustRightInd w:val="0"/>
        <w:jc w:val="both"/>
        <w:rPr>
          <w:rFonts w:ascii="Aptos" w:hAnsi="Aptos" w:cs="Times New Roman"/>
        </w:rPr>
      </w:pPr>
      <w:r w:rsidRPr="000363A0">
        <w:rPr>
          <w:rFonts w:ascii="Aptos" w:hAnsi="Aptos" w:cs="Times New Roman"/>
        </w:rPr>
        <w:t>order, social media post etc.) to be handled by the AI or by a human and give reasons for this choice.</w:t>
      </w:r>
    </w:p>
    <w:p w14:paraId="7CFEEE4D" w14:textId="77777777" w:rsidR="000363A0" w:rsidRPr="000363A0" w:rsidRDefault="000363A0" w:rsidP="000363A0">
      <w:pPr>
        <w:autoSpaceDE w:val="0"/>
        <w:autoSpaceDN w:val="0"/>
        <w:adjustRightInd w:val="0"/>
        <w:jc w:val="both"/>
        <w:rPr>
          <w:rFonts w:ascii="Aptos" w:hAnsi="Aptos" w:cs="Times New Roman"/>
        </w:rPr>
      </w:pPr>
    </w:p>
    <w:p w14:paraId="037B0E8C" w14:textId="7E7B0CD7" w:rsidR="000363A0" w:rsidRPr="000363A0" w:rsidRDefault="000363A0" w:rsidP="000363A0">
      <w:pPr>
        <w:autoSpaceDE w:val="0"/>
        <w:autoSpaceDN w:val="0"/>
        <w:adjustRightInd w:val="0"/>
        <w:jc w:val="both"/>
        <w:rPr>
          <w:rFonts w:ascii="Aptos" w:hAnsi="Aptos" w:cs="Times New Roman"/>
        </w:rPr>
      </w:pPr>
      <w:r w:rsidRPr="000363A0">
        <w:rPr>
          <w:rFonts w:ascii="Aptos" w:hAnsi="Aptos" w:cs="Times New Roman"/>
        </w:rPr>
        <w:lastRenderedPageBreak/>
        <w:drawing>
          <wp:inline distT="0" distB="0" distL="0" distR="0" wp14:anchorId="51A889AB" wp14:editId="0E160614">
            <wp:extent cx="5731510" cy="3717925"/>
            <wp:effectExtent l="0" t="0" r="0" b="3175"/>
            <wp:docPr id="491515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15120" name=""/>
                    <pic:cNvPicPr/>
                  </pic:nvPicPr>
                  <pic:blipFill>
                    <a:blip r:embed="rId7"/>
                    <a:stretch>
                      <a:fillRect/>
                    </a:stretch>
                  </pic:blipFill>
                  <pic:spPr>
                    <a:xfrm>
                      <a:off x="0" y="0"/>
                      <a:ext cx="5731510" cy="3717925"/>
                    </a:xfrm>
                    <a:prstGeom prst="rect">
                      <a:avLst/>
                    </a:prstGeom>
                  </pic:spPr>
                </pic:pic>
              </a:graphicData>
            </a:graphic>
          </wp:inline>
        </w:drawing>
      </w:r>
    </w:p>
    <w:p w14:paraId="72A8C41F" w14:textId="77777777" w:rsidR="000363A0" w:rsidRPr="000363A0" w:rsidRDefault="000363A0" w:rsidP="000363A0">
      <w:pPr>
        <w:autoSpaceDE w:val="0"/>
        <w:autoSpaceDN w:val="0"/>
        <w:adjustRightInd w:val="0"/>
        <w:jc w:val="both"/>
        <w:rPr>
          <w:rFonts w:ascii="Aptos" w:hAnsi="Aptos" w:cs="Times New Roman"/>
        </w:rPr>
      </w:pPr>
    </w:p>
    <w:p w14:paraId="62106D58" w14:textId="77777777" w:rsidR="000363A0" w:rsidRPr="000363A0" w:rsidRDefault="000363A0" w:rsidP="000363A0">
      <w:pPr>
        <w:autoSpaceDE w:val="0"/>
        <w:autoSpaceDN w:val="0"/>
        <w:adjustRightInd w:val="0"/>
        <w:jc w:val="both"/>
        <w:rPr>
          <w:rFonts w:ascii="Aptos" w:hAnsi="Aptos" w:cs="Times New Roman"/>
        </w:rPr>
      </w:pPr>
      <w:r w:rsidRPr="000363A0">
        <w:rPr>
          <w:rFonts w:ascii="Aptos" w:hAnsi="Aptos" w:cs="Times New Roman"/>
        </w:rPr>
        <w:t>Figure 1: The Paper Mill (full probe pack)</w:t>
      </w:r>
    </w:p>
    <w:p w14:paraId="67A93984" w14:textId="77777777" w:rsidR="000363A0" w:rsidRPr="000363A0" w:rsidRDefault="000363A0" w:rsidP="000363A0">
      <w:pPr>
        <w:autoSpaceDE w:val="0"/>
        <w:autoSpaceDN w:val="0"/>
        <w:adjustRightInd w:val="0"/>
        <w:jc w:val="both"/>
        <w:rPr>
          <w:rFonts w:ascii="Aptos" w:hAnsi="Aptos" w:cs="Times New Roman"/>
        </w:rPr>
      </w:pPr>
    </w:p>
    <w:p w14:paraId="031D3BCC" w14:textId="4F78C84E" w:rsidR="000363A0" w:rsidRPr="000363A0" w:rsidRDefault="000363A0" w:rsidP="000363A0">
      <w:pPr>
        <w:autoSpaceDE w:val="0"/>
        <w:autoSpaceDN w:val="0"/>
        <w:adjustRightInd w:val="0"/>
        <w:jc w:val="both"/>
        <w:rPr>
          <w:rFonts w:ascii="Aptos" w:hAnsi="Aptos" w:cs="Times New Roman"/>
        </w:rPr>
      </w:pPr>
      <w:r w:rsidRPr="000363A0">
        <w:rPr>
          <w:rFonts w:ascii="Aptos" w:hAnsi="Aptos" w:cs="Times New Roman"/>
        </w:rPr>
        <w:t xml:space="preserve">3 </w:t>
      </w:r>
      <w:proofErr w:type="gramStart"/>
      <w:r w:rsidRPr="000363A0">
        <w:rPr>
          <w:rFonts w:ascii="Aptos" w:hAnsi="Aptos" w:cs="Times New Roman"/>
        </w:rPr>
        <w:t>SOIL</w:t>
      </w:r>
      <w:proofErr w:type="gramEnd"/>
      <w:r w:rsidRPr="000363A0">
        <w:rPr>
          <w:rFonts w:ascii="Aptos" w:hAnsi="Aptos" w:cs="Times New Roman"/>
        </w:rPr>
        <w:t xml:space="preserve"> STORY TELLER</w:t>
      </w:r>
    </w:p>
    <w:p w14:paraId="371470C4" w14:textId="77777777" w:rsidR="000363A0" w:rsidRPr="000363A0" w:rsidRDefault="000363A0" w:rsidP="000363A0">
      <w:pPr>
        <w:autoSpaceDE w:val="0"/>
        <w:autoSpaceDN w:val="0"/>
        <w:adjustRightInd w:val="0"/>
        <w:jc w:val="both"/>
        <w:rPr>
          <w:rFonts w:ascii="Aptos" w:hAnsi="Aptos" w:cs="Times New Roman"/>
        </w:rPr>
      </w:pPr>
    </w:p>
    <w:p w14:paraId="7139F490" w14:textId="239FBC48" w:rsidR="000363A0" w:rsidRPr="000363A0" w:rsidRDefault="000363A0" w:rsidP="000363A0">
      <w:pPr>
        <w:autoSpaceDE w:val="0"/>
        <w:autoSpaceDN w:val="0"/>
        <w:adjustRightInd w:val="0"/>
        <w:jc w:val="both"/>
        <w:rPr>
          <w:rFonts w:ascii="Aptos" w:hAnsi="Aptos" w:cs="Times New Roman"/>
        </w:rPr>
      </w:pPr>
      <w:r w:rsidRPr="000363A0">
        <w:rPr>
          <w:rFonts w:ascii="Aptos" w:hAnsi="Aptos" w:cs="Times New Roman"/>
        </w:rPr>
        <w:t xml:space="preserve">The soil </w:t>
      </w:r>
      <w:proofErr w:type="gramStart"/>
      <w:r w:rsidRPr="000363A0">
        <w:rPr>
          <w:rFonts w:ascii="Aptos" w:hAnsi="Aptos" w:cs="Times New Roman"/>
        </w:rPr>
        <w:t>story teller</w:t>
      </w:r>
      <w:proofErr w:type="gramEnd"/>
      <w:r w:rsidRPr="000363A0">
        <w:rPr>
          <w:rFonts w:ascii="Aptos" w:hAnsi="Aptos" w:cs="Times New Roman"/>
        </w:rPr>
        <w:t xml:space="preserve"> pushes back on assumptions what sensor data could look like. Participants preferred their own senses</w:t>
      </w:r>
      <w:r w:rsidRPr="000363A0">
        <w:rPr>
          <w:rFonts w:ascii="Aptos" w:hAnsi="Aptos" w:cs="Times New Roman"/>
        </w:rPr>
        <w:t xml:space="preserve"> </w:t>
      </w:r>
      <w:r w:rsidRPr="000363A0">
        <w:rPr>
          <w:rFonts w:ascii="Aptos" w:hAnsi="Aptos" w:cs="Times New Roman"/>
        </w:rPr>
        <w:t>to know how their produce is doing, but they also needed to communicate the benefits of their farming methods, e.g. for</w:t>
      </w:r>
    </w:p>
    <w:p w14:paraId="1B0290E9" w14:textId="77777777" w:rsidR="000363A0" w:rsidRPr="000363A0" w:rsidRDefault="000363A0" w:rsidP="000363A0">
      <w:pPr>
        <w:autoSpaceDE w:val="0"/>
        <w:autoSpaceDN w:val="0"/>
        <w:adjustRightInd w:val="0"/>
        <w:jc w:val="both"/>
        <w:rPr>
          <w:rFonts w:ascii="Aptos" w:hAnsi="Aptos" w:cs="Times New Roman"/>
        </w:rPr>
      </w:pPr>
      <w:r w:rsidRPr="000363A0">
        <w:rPr>
          <w:rFonts w:ascii="Aptos" w:hAnsi="Aptos" w:cs="Times New Roman"/>
        </w:rPr>
        <w:t xml:space="preserve">biodiversity or nutrition, to others. The Soil </w:t>
      </w:r>
      <w:proofErr w:type="gramStart"/>
      <w:r w:rsidRPr="000363A0">
        <w:rPr>
          <w:rFonts w:ascii="Aptos" w:hAnsi="Aptos" w:cs="Times New Roman"/>
        </w:rPr>
        <w:t>Story Teller</w:t>
      </w:r>
      <w:proofErr w:type="gramEnd"/>
      <w:r w:rsidRPr="000363A0">
        <w:rPr>
          <w:rFonts w:ascii="Aptos" w:hAnsi="Aptos" w:cs="Times New Roman"/>
        </w:rPr>
        <w:t xml:space="preserve"> is a device you can stick in the ground, and it turns sensor data</w:t>
      </w:r>
      <w:r w:rsidRPr="000363A0">
        <w:rPr>
          <w:rFonts w:ascii="Aptos" w:hAnsi="Aptos" w:cs="Times New Roman"/>
        </w:rPr>
        <w:t xml:space="preserve"> </w:t>
      </w:r>
      <w:r w:rsidRPr="000363A0">
        <w:rPr>
          <w:rFonts w:ascii="Aptos" w:hAnsi="Aptos" w:cs="Times New Roman"/>
        </w:rPr>
        <w:t xml:space="preserve">into stories about soil as a living organism (Figure 2). </w:t>
      </w:r>
    </w:p>
    <w:p w14:paraId="180AB715" w14:textId="77777777" w:rsidR="000363A0" w:rsidRPr="000363A0" w:rsidRDefault="000363A0" w:rsidP="000363A0">
      <w:pPr>
        <w:autoSpaceDE w:val="0"/>
        <w:autoSpaceDN w:val="0"/>
        <w:adjustRightInd w:val="0"/>
        <w:jc w:val="both"/>
        <w:rPr>
          <w:rFonts w:ascii="Aptos" w:hAnsi="Aptos" w:cs="Times New Roman"/>
        </w:rPr>
      </w:pPr>
    </w:p>
    <w:p w14:paraId="4FEEC3EF" w14:textId="4C7DFAC8" w:rsidR="000363A0" w:rsidRPr="000363A0" w:rsidRDefault="000363A0" w:rsidP="000363A0">
      <w:pPr>
        <w:autoSpaceDE w:val="0"/>
        <w:autoSpaceDN w:val="0"/>
        <w:adjustRightInd w:val="0"/>
        <w:jc w:val="both"/>
        <w:rPr>
          <w:rFonts w:ascii="Aptos" w:hAnsi="Aptos" w:cs="Times New Roman"/>
        </w:rPr>
      </w:pPr>
      <w:r w:rsidRPr="000363A0">
        <w:rPr>
          <w:rFonts w:ascii="Aptos" w:hAnsi="Aptos" w:cs="Times New Roman"/>
        </w:rPr>
        <w:t>You can set the target audience, e.g. “children” and mood, “e.g.</w:t>
      </w:r>
    </w:p>
    <w:p w14:paraId="3933974E" w14:textId="1B990C7A" w:rsidR="000363A0" w:rsidRPr="000363A0" w:rsidRDefault="000363A0" w:rsidP="000363A0">
      <w:pPr>
        <w:autoSpaceDE w:val="0"/>
        <w:autoSpaceDN w:val="0"/>
        <w:adjustRightInd w:val="0"/>
        <w:jc w:val="both"/>
        <w:rPr>
          <w:rFonts w:ascii="Aptos" w:hAnsi="Aptos" w:cs="Times New Roman"/>
        </w:rPr>
      </w:pPr>
      <w:r w:rsidRPr="000363A0">
        <w:rPr>
          <w:rFonts w:ascii="Aptos" w:hAnsi="Aptos" w:cs="Times New Roman"/>
        </w:rPr>
        <w:t>comedy” and the device tells the story via a speaker, for example while sitting in a field, or it can share them with others,</w:t>
      </w:r>
      <w:r w:rsidRPr="000363A0">
        <w:rPr>
          <w:rFonts w:ascii="Aptos" w:hAnsi="Aptos" w:cs="Times New Roman"/>
        </w:rPr>
        <w:t xml:space="preserve"> </w:t>
      </w:r>
      <w:r w:rsidRPr="000363A0">
        <w:rPr>
          <w:rFonts w:ascii="Aptos" w:hAnsi="Aptos" w:cs="Times New Roman"/>
        </w:rPr>
        <w:t xml:space="preserve">for example on social media. The probe asks participants to take a soil “sample” using a double-sided sticky tape </w:t>
      </w:r>
      <w:proofErr w:type="gramStart"/>
      <w:r w:rsidRPr="000363A0">
        <w:rPr>
          <w:rFonts w:ascii="Aptos" w:hAnsi="Aptos" w:cs="Times New Roman"/>
        </w:rPr>
        <w:t>attached</w:t>
      </w:r>
      <w:proofErr w:type="gramEnd"/>
    </w:p>
    <w:p w14:paraId="0B404BED" w14:textId="77777777" w:rsidR="000363A0" w:rsidRPr="000363A0" w:rsidRDefault="000363A0" w:rsidP="000363A0">
      <w:pPr>
        <w:autoSpaceDE w:val="0"/>
        <w:autoSpaceDN w:val="0"/>
        <w:adjustRightInd w:val="0"/>
        <w:jc w:val="both"/>
        <w:rPr>
          <w:rFonts w:ascii="Aptos" w:hAnsi="Aptos" w:cs="Times New Roman"/>
        </w:rPr>
      </w:pPr>
      <w:r w:rsidRPr="000363A0">
        <w:rPr>
          <w:rFonts w:ascii="Aptos" w:hAnsi="Aptos" w:cs="Times New Roman"/>
        </w:rPr>
        <w:t>a postcard and write a title, target audience, and the mood they want the story to have next to it.</w:t>
      </w:r>
    </w:p>
    <w:p w14:paraId="558351E2" w14:textId="77777777" w:rsidR="000363A0" w:rsidRPr="000363A0" w:rsidRDefault="000363A0" w:rsidP="000363A0">
      <w:pPr>
        <w:autoSpaceDE w:val="0"/>
        <w:autoSpaceDN w:val="0"/>
        <w:adjustRightInd w:val="0"/>
        <w:jc w:val="both"/>
        <w:rPr>
          <w:rFonts w:ascii="Aptos" w:hAnsi="Aptos" w:cs="Times New Roman"/>
        </w:rPr>
      </w:pPr>
    </w:p>
    <w:p w14:paraId="3CAD8C9A" w14:textId="4BE235BD" w:rsidR="000363A0" w:rsidRPr="000363A0" w:rsidRDefault="000363A0" w:rsidP="000363A0">
      <w:pPr>
        <w:autoSpaceDE w:val="0"/>
        <w:autoSpaceDN w:val="0"/>
        <w:adjustRightInd w:val="0"/>
        <w:jc w:val="both"/>
        <w:rPr>
          <w:rFonts w:ascii="Aptos" w:hAnsi="Aptos" w:cs="Times New Roman"/>
        </w:rPr>
      </w:pPr>
      <w:r w:rsidRPr="000363A0">
        <w:rPr>
          <w:rFonts w:ascii="Aptos" w:hAnsi="Aptos" w:cs="Times New Roman"/>
        </w:rPr>
        <w:lastRenderedPageBreak/>
        <w:drawing>
          <wp:inline distT="0" distB="0" distL="0" distR="0" wp14:anchorId="4C2887D0" wp14:editId="58904B4E">
            <wp:extent cx="5731510" cy="4272915"/>
            <wp:effectExtent l="0" t="0" r="0" b="0"/>
            <wp:docPr id="244144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144481" name=""/>
                    <pic:cNvPicPr/>
                  </pic:nvPicPr>
                  <pic:blipFill>
                    <a:blip r:embed="rId8"/>
                    <a:stretch>
                      <a:fillRect/>
                    </a:stretch>
                  </pic:blipFill>
                  <pic:spPr>
                    <a:xfrm>
                      <a:off x="0" y="0"/>
                      <a:ext cx="5731510" cy="4272915"/>
                    </a:xfrm>
                    <a:prstGeom prst="rect">
                      <a:avLst/>
                    </a:prstGeom>
                  </pic:spPr>
                </pic:pic>
              </a:graphicData>
            </a:graphic>
          </wp:inline>
        </w:drawing>
      </w:r>
    </w:p>
    <w:p w14:paraId="061BC927" w14:textId="77777777" w:rsidR="000363A0" w:rsidRPr="000363A0" w:rsidRDefault="000363A0" w:rsidP="000363A0">
      <w:pPr>
        <w:autoSpaceDE w:val="0"/>
        <w:autoSpaceDN w:val="0"/>
        <w:adjustRightInd w:val="0"/>
        <w:jc w:val="both"/>
        <w:rPr>
          <w:rFonts w:ascii="Aptos" w:hAnsi="Aptos" w:cs="Times New Roman"/>
        </w:rPr>
      </w:pPr>
      <w:r w:rsidRPr="000363A0">
        <w:rPr>
          <w:rFonts w:ascii="Aptos" w:hAnsi="Aptos" w:cs="Times New Roman"/>
        </w:rPr>
        <w:t xml:space="preserve">Figure 2: The Soil </w:t>
      </w:r>
      <w:proofErr w:type="gramStart"/>
      <w:r w:rsidRPr="000363A0">
        <w:rPr>
          <w:rFonts w:ascii="Aptos" w:hAnsi="Aptos" w:cs="Times New Roman"/>
        </w:rPr>
        <w:t>Story Teller</w:t>
      </w:r>
      <w:proofErr w:type="gramEnd"/>
      <w:r w:rsidRPr="000363A0">
        <w:rPr>
          <w:rFonts w:ascii="Aptos" w:hAnsi="Aptos" w:cs="Times New Roman"/>
        </w:rPr>
        <w:t xml:space="preserve"> (illustration)</w:t>
      </w:r>
    </w:p>
    <w:p w14:paraId="73008015" w14:textId="4B201E11" w:rsidR="000363A0" w:rsidRPr="000363A0" w:rsidRDefault="000363A0" w:rsidP="000363A0">
      <w:pPr>
        <w:autoSpaceDE w:val="0"/>
        <w:autoSpaceDN w:val="0"/>
        <w:adjustRightInd w:val="0"/>
        <w:jc w:val="both"/>
        <w:rPr>
          <w:rFonts w:ascii="Aptos" w:hAnsi="Aptos" w:cs="Times New Roman"/>
        </w:rPr>
      </w:pPr>
    </w:p>
    <w:p w14:paraId="753E9831" w14:textId="77777777" w:rsidR="000363A0" w:rsidRPr="000363A0" w:rsidRDefault="000363A0" w:rsidP="000363A0">
      <w:pPr>
        <w:autoSpaceDE w:val="0"/>
        <w:autoSpaceDN w:val="0"/>
        <w:adjustRightInd w:val="0"/>
        <w:jc w:val="both"/>
        <w:rPr>
          <w:rFonts w:ascii="Aptos" w:hAnsi="Aptos" w:cs="Times New Roman"/>
        </w:rPr>
      </w:pPr>
      <w:r w:rsidRPr="000363A0">
        <w:rPr>
          <w:rFonts w:ascii="Aptos" w:hAnsi="Aptos" w:cs="Times New Roman"/>
        </w:rPr>
        <w:t>4 THE ROBOT COMMENTATOR</w:t>
      </w:r>
    </w:p>
    <w:p w14:paraId="3B105D73" w14:textId="77777777" w:rsidR="000363A0" w:rsidRPr="000363A0" w:rsidRDefault="000363A0" w:rsidP="000363A0">
      <w:pPr>
        <w:autoSpaceDE w:val="0"/>
        <w:autoSpaceDN w:val="0"/>
        <w:adjustRightInd w:val="0"/>
        <w:jc w:val="both"/>
        <w:rPr>
          <w:rFonts w:ascii="Aptos" w:hAnsi="Aptos" w:cs="Times New Roman"/>
        </w:rPr>
      </w:pPr>
    </w:p>
    <w:p w14:paraId="7D6185A9" w14:textId="2DFC1723" w:rsidR="000363A0" w:rsidRPr="000363A0" w:rsidRDefault="000363A0" w:rsidP="000363A0">
      <w:pPr>
        <w:autoSpaceDE w:val="0"/>
        <w:autoSpaceDN w:val="0"/>
        <w:adjustRightInd w:val="0"/>
        <w:jc w:val="both"/>
        <w:rPr>
          <w:rFonts w:ascii="Aptos" w:hAnsi="Aptos" w:cs="Times New Roman"/>
        </w:rPr>
      </w:pPr>
      <w:r w:rsidRPr="000363A0">
        <w:rPr>
          <w:rFonts w:ascii="Aptos" w:hAnsi="Aptos" w:cs="Times New Roman"/>
        </w:rPr>
        <w:t xml:space="preserve">The Robot Commentator questions what robotic labour on a farm might include. Our participants valued manual </w:t>
      </w:r>
      <w:proofErr w:type="gramStart"/>
      <w:r w:rsidRPr="000363A0">
        <w:rPr>
          <w:rFonts w:ascii="Aptos" w:hAnsi="Aptos" w:cs="Times New Roman"/>
        </w:rPr>
        <w:t>labour</w:t>
      </w:r>
      <w:proofErr w:type="gramEnd"/>
    </w:p>
    <w:p w14:paraId="528C25B1" w14:textId="44DD179F" w:rsidR="000363A0" w:rsidRPr="000363A0" w:rsidRDefault="000363A0" w:rsidP="000363A0">
      <w:pPr>
        <w:autoSpaceDE w:val="0"/>
        <w:autoSpaceDN w:val="0"/>
        <w:adjustRightInd w:val="0"/>
        <w:jc w:val="both"/>
        <w:rPr>
          <w:rFonts w:ascii="Aptos" w:hAnsi="Aptos" w:cs="Times New Roman"/>
        </w:rPr>
      </w:pPr>
      <w:r w:rsidRPr="000363A0">
        <w:rPr>
          <w:rFonts w:ascii="Aptos" w:hAnsi="Aptos" w:cs="Times New Roman"/>
        </w:rPr>
        <w:t>and being outdoors. However, many of them could do with more workers on the land. So instead of automating physical</w:t>
      </w:r>
      <w:r w:rsidRPr="000363A0">
        <w:rPr>
          <w:rFonts w:ascii="Aptos" w:hAnsi="Aptos" w:cs="Times New Roman"/>
        </w:rPr>
        <w:t xml:space="preserve"> </w:t>
      </w:r>
      <w:r w:rsidRPr="000363A0">
        <w:rPr>
          <w:rFonts w:ascii="Aptos" w:hAnsi="Aptos" w:cs="Times New Roman"/>
        </w:rPr>
        <w:t>labour, the Robot Commentator follows the farmer doing everyday farm work and learns from them to then recruit and</w:t>
      </w:r>
    </w:p>
    <w:p w14:paraId="3569E7B0" w14:textId="5CA899C6" w:rsidR="000363A0" w:rsidRPr="000363A0" w:rsidRDefault="000363A0" w:rsidP="000363A0">
      <w:pPr>
        <w:autoSpaceDE w:val="0"/>
        <w:autoSpaceDN w:val="0"/>
        <w:adjustRightInd w:val="0"/>
        <w:jc w:val="both"/>
        <w:rPr>
          <w:rFonts w:ascii="Aptos" w:hAnsi="Aptos" w:cs="Times New Roman"/>
        </w:rPr>
      </w:pPr>
      <w:r w:rsidRPr="000363A0">
        <w:rPr>
          <w:rFonts w:ascii="Aptos" w:hAnsi="Aptos" w:cs="Times New Roman"/>
        </w:rPr>
        <w:t>instructs customers and volunteers (Figure 3). The probe asks participants to role play the robot watching the farmer and</w:t>
      </w:r>
      <w:r w:rsidRPr="000363A0">
        <w:rPr>
          <w:rFonts w:ascii="Aptos" w:hAnsi="Aptos" w:cs="Times New Roman"/>
        </w:rPr>
        <w:t xml:space="preserve"> </w:t>
      </w:r>
      <w:r w:rsidRPr="000363A0">
        <w:rPr>
          <w:rFonts w:ascii="Aptos" w:hAnsi="Aptos" w:cs="Times New Roman"/>
        </w:rPr>
        <w:t>audio record their observations and commentary.</w:t>
      </w:r>
    </w:p>
    <w:p w14:paraId="64C4DC38" w14:textId="77777777" w:rsidR="000363A0" w:rsidRPr="000363A0" w:rsidRDefault="000363A0" w:rsidP="000363A0">
      <w:pPr>
        <w:autoSpaceDE w:val="0"/>
        <w:autoSpaceDN w:val="0"/>
        <w:adjustRightInd w:val="0"/>
        <w:jc w:val="both"/>
        <w:rPr>
          <w:rFonts w:ascii="Aptos" w:hAnsi="Aptos" w:cs="Times New Roman"/>
        </w:rPr>
      </w:pPr>
    </w:p>
    <w:p w14:paraId="548FA4D2" w14:textId="77777777" w:rsidR="000363A0" w:rsidRPr="000363A0" w:rsidRDefault="000363A0" w:rsidP="000363A0">
      <w:pPr>
        <w:autoSpaceDE w:val="0"/>
        <w:autoSpaceDN w:val="0"/>
        <w:adjustRightInd w:val="0"/>
        <w:jc w:val="both"/>
        <w:rPr>
          <w:rFonts w:ascii="Aptos" w:hAnsi="Aptos" w:cs="Times New Roman"/>
        </w:rPr>
      </w:pPr>
    </w:p>
    <w:p w14:paraId="5ABD76F6" w14:textId="3189A445" w:rsidR="000363A0" w:rsidRPr="000363A0" w:rsidRDefault="000363A0" w:rsidP="000363A0">
      <w:pPr>
        <w:autoSpaceDE w:val="0"/>
        <w:autoSpaceDN w:val="0"/>
        <w:adjustRightInd w:val="0"/>
        <w:jc w:val="both"/>
        <w:rPr>
          <w:rFonts w:ascii="Aptos" w:hAnsi="Aptos" w:cs="Times New Roman"/>
        </w:rPr>
      </w:pPr>
      <w:r w:rsidRPr="000363A0">
        <w:rPr>
          <w:rFonts w:ascii="Aptos" w:hAnsi="Aptos" w:cs="Times New Roman"/>
        </w:rPr>
        <w:lastRenderedPageBreak/>
        <w:drawing>
          <wp:inline distT="0" distB="0" distL="0" distR="0" wp14:anchorId="086FA9EF" wp14:editId="2282ADE3">
            <wp:extent cx="5731510" cy="3263900"/>
            <wp:effectExtent l="0" t="0" r="0" b="0"/>
            <wp:docPr id="2032650742" name="Picture 1" descr="A record player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650742" name="Picture 1" descr="A record player in a field&#10;&#10;Description automatically generated"/>
                    <pic:cNvPicPr/>
                  </pic:nvPicPr>
                  <pic:blipFill>
                    <a:blip r:embed="rId9"/>
                    <a:stretch>
                      <a:fillRect/>
                    </a:stretch>
                  </pic:blipFill>
                  <pic:spPr>
                    <a:xfrm>
                      <a:off x="0" y="0"/>
                      <a:ext cx="5731510" cy="3263900"/>
                    </a:xfrm>
                    <a:prstGeom prst="rect">
                      <a:avLst/>
                    </a:prstGeom>
                  </pic:spPr>
                </pic:pic>
              </a:graphicData>
            </a:graphic>
          </wp:inline>
        </w:drawing>
      </w:r>
    </w:p>
    <w:p w14:paraId="3AEA186A" w14:textId="77777777" w:rsidR="000363A0" w:rsidRPr="000363A0" w:rsidRDefault="000363A0" w:rsidP="000363A0">
      <w:pPr>
        <w:autoSpaceDE w:val="0"/>
        <w:autoSpaceDN w:val="0"/>
        <w:adjustRightInd w:val="0"/>
        <w:jc w:val="both"/>
        <w:rPr>
          <w:rFonts w:ascii="Aptos" w:hAnsi="Aptos" w:cs="Times New Roman"/>
        </w:rPr>
      </w:pPr>
      <w:r w:rsidRPr="000363A0">
        <w:rPr>
          <w:rFonts w:ascii="Aptos" w:hAnsi="Aptos" w:cs="Times New Roman"/>
        </w:rPr>
        <w:t>Figure 3: The Robot Commentator (illustration)</w:t>
      </w:r>
    </w:p>
    <w:p w14:paraId="1E33381B" w14:textId="77777777" w:rsidR="000363A0" w:rsidRPr="000363A0" w:rsidRDefault="000363A0" w:rsidP="000363A0">
      <w:pPr>
        <w:autoSpaceDE w:val="0"/>
        <w:autoSpaceDN w:val="0"/>
        <w:adjustRightInd w:val="0"/>
        <w:jc w:val="both"/>
        <w:rPr>
          <w:rFonts w:ascii="Aptos" w:hAnsi="Aptos" w:cs="Times New Roman"/>
        </w:rPr>
      </w:pPr>
    </w:p>
    <w:p w14:paraId="41B76D4E" w14:textId="6782C101" w:rsidR="000363A0" w:rsidRPr="000363A0" w:rsidRDefault="000363A0" w:rsidP="000363A0">
      <w:pPr>
        <w:autoSpaceDE w:val="0"/>
        <w:autoSpaceDN w:val="0"/>
        <w:adjustRightInd w:val="0"/>
        <w:jc w:val="both"/>
        <w:rPr>
          <w:rFonts w:ascii="Aptos" w:hAnsi="Aptos" w:cs="Times New Roman"/>
        </w:rPr>
      </w:pPr>
      <w:r w:rsidRPr="000363A0">
        <w:rPr>
          <w:rFonts w:ascii="Aptos" w:hAnsi="Aptos" w:cs="Times New Roman"/>
        </w:rPr>
        <w:t>5 AT THE WORKSHOP</w:t>
      </w:r>
    </w:p>
    <w:p w14:paraId="07FBF215" w14:textId="77777777" w:rsidR="000363A0" w:rsidRPr="000363A0" w:rsidRDefault="000363A0" w:rsidP="000363A0">
      <w:pPr>
        <w:autoSpaceDE w:val="0"/>
        <w:autoSpaceDN w:val="0"/>
        <w:adjustRightInd w:val="0"/>
        <w:jc w:val="both"/>
        <w:rPr>
          <w:rFonts w:ascii="Aptos" w:hAnsi="Aptos" w:cs="Times New Roman"/>
        </w:rPr>
      </w:pPr>
    </w:p>
    <w:p w14:paraId="34E91829" w14:textId="5DA116FE" w:rsidR="000363A0" w:rsidRPr="000363A0" w:rsidRDefault="000363A0" w:rsidP="000363A0">
      <w:pPr>
        <w:autoSpaceDE w:val="0"/>
        <w:autoSpaceDN w:val="0"/>
        <w:adjustRightInd w:val="0"/>
        <w:jc w:val="both"/>
        <w:rPr>
          <w:rFonts w:ascii="Aptos" w:hAnsi="Aptos" w:cs="Times New Roman"/>
        </w:rPr>
      </w:pPr>
      <w:r w:rsidRPr="000363A0">
        <w:rPr>
          <w:rFonts w:ascii="Aptos" w:hAnsi="Aptos" w:cs="Times New Roman"/>
        </w:rPr>
        <w:t xml:space="preserve">We are happy to share more some of our probes and our thinking behind them at the workshop and look forward to </w:t>
      </w:r>
      <w:proofErr w:type="gramStart"/>
      <w:r w:rsidRPr="000363A0">
        <w:rPr>
          <w:rFonts w:ascii="Aptos" w:hAnsi="Aptos" w:cs="Times New Roman"/>
        </w:rPr>
        <w:t>exciting</w:t>
      </w:r>
      <w:proofErr w:type="gramEnd"/>
    </w:p>
    <w:p w14:paraId="6D50BA07" w14:textId="77777777" w:rsidR="000363A0" w:rsidRPr="000363A0" w:rsidRDefault="000363A0" w:rsidP="000363A0">
      <w:pPr>
        <w:autoSpaceDE w:val="0"/>
        <w:autoSpaceDN w:val="0"/>
        <w:adjustRightInd w:val="0"/>
        <w:jc w:val="both"/>
        <w:rPr>
          <w:rFonts w:ascii="Aptos" w:hAnsi="Aptos" w:cs="Times New Roman"/>
        </w:rPr>
      </w:pPr>
      <w:r w:rsidRPr="000363A0">
        <w:rPr>
          <w:rFonts w:ascii="Aptos" w:hAnsi="Aptos" w:cs="Times New Roman"/>
        </w:rPr>
        <w:t>discussions about sustainable future for the Internet of Things.</w:t>
      </w:r>
    </w:p>
    <w:p w14:paraId="37BA7AF7" w14:textId="77777777" w:rsidR="000363A0" w:rsidRPr="000363A0" w:rsidRDefault="000363A0" w:rsidP="000363A0">
      <w:pPr>
        <w:autoSpaceDE w:val="0"/>
        <w:autoSpaceDN w:val="0"/>
        <w:adjustRightInd w:val="0"/>
        <w:jc w:val="both"/>
        <w:rPr>
          <w:rFonts w:ascii="Aptos" w:hAnsi="Aptos" w:cs="Times New Roman"/>
        </w:rPr>
      </w:pPr>
    </w:p>
    <w:p w14:paraId="5295F33C" w14:textId="77777777" w:rsidR="000363A0" w:rsidRPr="000363A0" w:rsidRDefault="000363A0" w:rsidP="000363A0">
      <w:pPr>
        <w:autoSpaceDE w:val="0"/>
        <w:autoSpaceDN w:val="0"/>
        <w:adjustRightInd w:val="0"/>
        <w:jc w:val="both"/>
        <w:rPr>
          <w:rFonts w:ascii="Aptos" w:hAnsi="Aptos" w:cs="Times New Roman"/>
        </w:rPr>
      </w:pPr>
    </w:p>
    <w:p w14:paraId="4CFD9647" w14:textId="080C1533" w:rsidR="000363A0" w:rsidRPr="000363A0" w:rsidRDefault="000363A0" w:rsidP="000363A0">
      <w:pPr>
        <w:autoSpaceDE w:val="0"/>
        <w:autoSpaceDN w:val="0"/>
        <w:adjustRightInd w:val="0"/>
        <w:jc w:val="both"/>
        <w:rPr>
          <w:rFonts w:ascii="Aptos" w:hAnsi="Aptos" w:cs="Times New Roman"/>
        </w:rPr>
      </w:pPr>
      <w:r w:rsidRPr="000363A0">
        <w:rPr>
          <w:rFonts w:ascii="Aptos" w:hAnsi="Aptos" w:cs="Times New Roman"/>
        </w:rPr>
        <w:t>REFERENCES</w:t>
      </w:r>
    </w:p>
    <w:p w14:paraId="377B05AC" w14:textId="77777777" w:rsidR="000363A0" w:rsidRPr="000363A0" w:rsidRDefault="000363A0" w:rsidP="000363A0">
      <w:pPr>
        <w:autoSpaceDE w:val="0"/>
        <w:autoSpaceDN w:val="0"/>
        <w:adjustRightInd w:val="0"/>
        <w:jc w:val="both"/>
        <w:rPr>
          <w:rFonts w:ascii="Aptos" w:hAnsi="Aptos" w:cs="Times New Roman"/>
        </w:rPr>
      </w:pPr>
      <w:r w:rsidRPr="000363A0">
        <w:rPr>
          <w:rFonts w:ascii="Aptos" w:hAnsi="Aptos" w:cs="Times New Roman"/>
        </w:rPr>
        <w:t xml:space="preserve">[1] Biggs, H., Joshi, T., Murphy, R., </w:t>
      </w:r>
      <w:proofErr w:type="spellStart"/>
      <w:r w:rsidRPr="000363A0">
        <w:rPr>
          <w:rFonts w:ascii="Aptos" w:hAnsi="Aptos" w:cs="Times New Roman"/>
        </w:rPr>
        <w:t>Bardzell</w:t>
      </w:r>
      <w:proofErr w:type="spellEnd"/>
      <w:r w:rsidRPr="000363A0">
        <w:rPr>
          <w:rFonts w:ascii="Aptos" w:hAnsi="Aptos" w:cs="Times New Roman"/>
        </w:rPr>
        <w:t xml:space="preserve">, J. and </w:t>
      </w:r>
      <w:proofErr w:type="spellStart"/>
      <w:r w:rsidRPr="000363A0">
        <w:rPr>
          <w:rFonts w:ascii="Aptos" w:hAnsi="Aptos" w:cs="Times New Roman"/>
        </w:rPr>
        <w:t>Bardzell</w:t>
      </w:r>
      <w:proofErr w:type="spellEnd"/>
      <w:r w:rsidRPr="000363A0">
        <w:rPr>
          <w:rFonts w:ascii="Aptos" w:hAnsi="Aptos" w:cs="Times New Roman"/>
        </w:rPr>
        <w:t xml:space="preserve">, S. 2021. Alternatives to </w:t>
      </w:r>
      <w:proofErr w:type="spellStart"/>
      <w:r w:rsidRPr="000363A0">
        <w:rPr>
          <w:rFonts w:ascii="Aptos" w:hAnsi="Aptos" w:cs="Times New Roman"/>
        </w:rPr>
        <w:t>Agrilogistics</w:t>
      </w:r>
      <w:proofErr w:type="spellEnd"/>
      <w:r w:rsidRPr="000363A0">
        <w:rPr>
          <w:rFonts w:ascii="Aptos" w:hAnsi="Aptos" w:cs="Times New Roman"/>
        </w:rPr>
        <w:t>: Designing for Ecological Thinking. Proceedings of</w:t>
      </w:r>
    </w:p>
    <w:p w14:paraId="05957633" w14:textId="77777777" w:rsidR="000363A0" w:rsidRPr="000363A0" w:rsidRDefault="000363A0" w:rsidP="000363A0">
      <w:pPr>
        <w:autoSpaceDE w:val="0"/>
        <w:autoSpaceDN w:val="0"/>
        <w:adjustRightInd w:val="0"/>
        <w:jc w:val="both"/>
        <w:rPr>
          <w:rFonts w:ascii="Aptos" w:hAnsi="Aptos" w:cs="Times New Roman"/>
        </w:rPr>
      </w:pPr>
      <w:r w:rsidRPr="000363A0">
        <w:rPr>
          <w:rFonts w:ascii="Aptos" w:hAnsi="Aptos" w:cs="Times New Roman"/>
        </w:rPr>
        <w:t xml:space="preserve">the ACM on Human-Computer Interaction. 5, CSCW2 (2021), 1–31. </w:t>
      </w:r>
      <w:proofErr w:type="spellStart"/>
      <w:proofErr w:type="gramStart"/>
      <w:r w:rsidRPr="000363A0">
        <w:rPr>
          <w:rFonts w:ascii="Aptos" w:hAnsi="Aptos" w:cs="Times New Roman"/>
        </w:rPr>
        <w:t>DOI:https</w:t>
      </w:r>
      <w:proofErr w:type="spellEnd"/>
      <w:r w:rsidRPr="000363A0">
        <w:rPr>
          <w:rFonts w:ascii="Aptos" w:hAnsi="Aptos" w:cs="Times New Roman"/>
        </w:rPr>
        <w:t>://doi.org/10.1145/3479557</w:t>
      </w:r>
      <w:proofErr w:type="gramEnd"/>
      <w:r w:rsidRPr="000363A0">
        <w:rPr>
          <w:rFonts w:ascii="Aptos" w:hAnsi="Aptos" w:cs="Times New Roman"/>
        </w:rPr>
        <w:t>.</w:t>
      </w:r>
    </w:p>
    <w:p w14:paraId="51E4266B" w14:textId="77777777" w:rsidR="000363A0" w:rsidRPr="000363A0" w:rsidRDefault="000363A0" w:rsidP="000363A0">
      <w:pPr>
        <w:autoSpaceDE w:val="0"/>
        <w:autoSpaceDN w:val="0"/>
        <w:adjustRightInd w:val="0"/>
        <w:jc w:val="both"/>
        <w:rPr>
          <w:rFonts w:ascii="Aptos" w:hAnsi="Aptos" w:cs="Times New Roman"/>
        </w:rPr>
      </w:pPr>
      <w:r w:rsidRPr="000363A0">
        <w:rPr>
          <w:rFonts w:ascii="Aptos" w:hAnsi="Aptos" w:cs="Times New Roman"/>
        </w:rPr>
        <w:t>[2] Chandra, R. and Collis, S. 2021. Digital agriculture for small-scale producers. Communications of the ACM. 64, 12 (Dec. 2021), 75–84.</w:t>
      </w:r>
    </w:p>
    <w:p w14:paraId="38A2B0F0" w14:textId="77777777" w:rsidR="000363A0" w:rsidRPr="000363A0" w:rsidRDefault="000363A0" w:rsidP="000363A0">
      <w:pPr>
        <w:autoSpaceDE w:val="0"/>
        <w:autoSpaceDN w:val="0"/>
        <w:adjustRightInd w:val="0"/>
        <w:jc w:val="both"/>
        <w:rPr>
          <w:rFonts w:ascii="Aptos" w:hAnsi="Aptos" w:cs="Times New Roman"/>
        </w:rPr>
      </w:pPr>
      <w:proofErr w:type="spellStart"/>
      <w:proofErr w:type="gramStart"/>
      <w:r w:rsidRPr="000363A0">
        <w:rPr>
          <w:rFonts w:ascii="Aptos" w:hAnsi="Aptos" w:cs="Times New Roman"/>
        </w:rPr>
        <w:t>DOI:https</w:t>
      </w:r>
      <w:proofErr w:type="spellEnd"/>
      <w:r w:rsidRPr="000363A0">
        <w:rPr>
          <w:rFonts w:ascii="Aptos" w:hAnsi="Aptos" w:cs="Times New Roman"/>
        </w:rPr>
        <w:t>://doi.org/10.1145/3454008</w:t>
      </w:r>
      <w:proofErr w:type="gramEnd"/>
      <w:r w:rsidRPr="000363A0">
        <w:rPr>
          <w:rFonts w:ascii="Aptos" w:hAnsi="Aptos" w:cs="Times New Roman"/>
        </w:rPr>
        <w:t>.</w:t>
      </w:r>
    </w:p>
    <w:p w14:paraId="546AA766" w14:textId="77777777" w:rsidR="000363A0" w:rsidRPr="000363A0" w:rsidRDefault="000363A0" w:rsidP="000363A0">
      <w:pPr>
        <w:autoSpaceDE w:val="0"/>
        <w:autoSpaceDN w:val="0"/>
        <w:adjustRightInd w:val="0"/>
        <w:jc w:val="both"/>
        <w:rPr>
          <w:rFonts w:ascii="Aptos" w:hAnsi="Aptos" w:cs="Times New Roman"/>
        </w:rPr>
      </w:pPr>
      <w:r w:rsidRPr="000363A0">
        <w:rPr>
          <w:rFonts w:ascii="Aptos" w:hAnsi="Aptos" w:cs="Times New Roman"/>
        </w:rPr>
        <w:t xml:space="preserve">[3] Hanrahan, B. V, Maitland, C., Brown, T., Chen, A., Kagame, F. and </w:t>
      </w:r>
      <w:proofErr w:type="spellStart"/>
      <w:r w:rsidRPr="000363A0">
        <w:rPr>
          <w:rFonts w:ascii="Aptos" w:hAnsi="Aptos" w:cs="Times New Roman"/>
        </w:rPr>
        <w:t>Birir</w:t>
      </w:r>
      <w:proofErr w:type="spellEnd"/>
      <w:r w:rsidRPr="000363A0">
        <w:rPr>
          <w:rFonts w:ascii="Aptos" w:hAnsi="Aptos" w:cs="Times New Roman"/>
        </w:rPr>
        <w:t>, B. 2021. Agency and Extraction in Emerging Industrial Drone Applications.</w:t>
      </w:r>
    </w:p>
    <w:p w14:paraId="1AA4E772" w14:textId="77777777" w:rsidR="000363A0" w:rsidRPr="000363A0" w:rsidRDefault="000363A0" w:rsidP="000363A0">
      <w:pPr>
        <w:autoSpaceDE w:val="0"/>
        <w:autoSpaceDN w:val="0"/>
        <w:adjustRightInd w:val="0"/>
        <w:jc w:val="both"/>
        <w:rPr>
          <w:rFonts w:ascii="Aptos" w:hAnsi="Aptos" w:cs="Times New Roman"/>
        </w:rPr>
      </w:pPr>
      <w:r w:rsidRPr="000363A0">
        <w:rPr>
          <w:rFonts w:ascii="Aptos" w:hAnsi="Aptos" w:cs="Times New Roman"/>
        </w:rPr>
        <w:t xml:space="preserve">Proceedings of the ACM on Human-Computer Interaction. 4, CSCW3 (Jan. 2021), 1–21. </w:t>
      </w:r>
      <w:proofErr w:type="spellStart"/>
      <w:proofErr w:type="gramStart"/>
      <w:r w:rsidRPr="000363A0">
        <w:rPr>
          <w:rFonts w:ascii="Aptos" w:hAnsi="Aptos" w:cs="Times New Roman"/>
        </w:rPr>
        <w:t>DOI:https</w:t>
      </w:r>
      <w:proofErr w:type="spellEnd"/>
      <w:r w:rsidRPr="000363A0">
        <w:rPr>
          <w:rFonts w:ascii="Aptos" w:hAnsi="Aptos" w:cs="Times New Roman"/>
        </w:rPr>
        <w:t>://doi.org/10.1145/3432932</w:t>
      </w:r>
      <w:proofErr w:type="gramEnd"/>
      <w:r w:rsidRPr="000363A0">
        <w:rPr>
          <w:rFonts w:ascii="Aptos" w:hAnsi="Aptos" w:cs="Times New Roman"/>
        </w:rPr>
        <w:t>.</w:t>
      </w:r>
    </w:p>
    <w:p w14:paraId="434FCFC3" w14:textId="77777777" w:rsidR="000363A0" w:rsidRPr="000363A0" w:rsidRDefault="000363A0" w:rsidP="000363A0">
      <w:pPr>
        <w:autoSpaceDE w:val="0"/>
        <w:autoSpaceDN w:val="0"/>
        <w:adjustRightInd w:val="0"/>
        <w:jc w:val="both"/>
        <w:rPr>
          <w:rFonts w:ascii="Aptos" w:hAnsi="Aptos" w:cs="Times New Roman"/>
        </w:rPr>
      </w:pPr>
      <w:r w:rsidRPr="000363A0">
        <w:rPr>
          <w:rFonts w:ascii="Aptos" w:hAnsi="Aptos" w:cs="Times New Roman"/>
        </w:rPr>
        <w:t xml:space="preserve">[4] Liu, J. and </w:t>
      </w:r>
      <w:proofErr w:type="spellStart"/>
      <w:r w:rsidRPr="000363A0">
        <w:rPr>
          <w:rFonts w:ascii="Aptos" w:hAnsi="Aptos" w:cs="Times New Roman"/>
        </w:rPr>
        <w:t>Sengers</w:t>
      </w:r>
      <w:proofErr w:type="spellEnd"/>
      <w:r w:rsidRPr="000363A0">
        <w:rPr>
          <w:rFonts w:ascii="Aptos" w:hAnsi="Aptos" w:cs="Times New Roman"/>
        </w:rPr>
        <w:t>, P. 2021. Legibility and the Legacy of Racialized Dispossession in Digital Agriculture. Proceedings of the ACM on Human-</w:t>
      </w:r>
    </w:p>
    <w:p w14:paraId="67E25363" w14:textId="77777777" w:rsidR="000363A0" w:rsidRPr="000363A0" w:rsidRDefault="000363A0" w:rsidP="000363A0">
      <w:pPr>
        <w:autoSpaceDE w:val="0"/>
        <w:autoSpaceDN w:val="0"/>
        <w:adjustRightInd w:val="0"/>
        <w:jc w:val="both"/>
        <w:rPr>
          <w:rFonts w:ascii="Aptos" w:hAnsi="Aptos" w:cs="Times New Roman"/>
        </w:rPr>
      </w:pPr>
      <w:r w:rsidRPr="000363A0">
        <w:rPr>
          <w:rFonts w:ascii="Aptos" w:hAnsi="Aptos" w:cs="Times New Roman"/>
        </w:rPr>
        <w:t xml:space="preserve">Computer Interaction. 5, CSCW2 (Oct. 2021), 26. </w:t>
      </w:r>
      <w:proofErr w:type="spellStart"/>
      <w:proofErr w:type="gramStart"/>
      <w:r w:rsidRPr="000363A0">
        <w:rPr>
          <w:rFonts w:ascii="Aptos" w:hAnsi="Aptos" w:cs="Times New Roman"/>
        </w:rPr>
        <w:t>DOI:https</w:t>
      </w:r>
      <w:proofErr w:type="spellEnd"/>
      <w:r w:rsidRPr="000363A0">
        <w:rPr>
          <w:rFonts w:ascii="Aptos" w:hAnsi="Aptos" w:cs="Times New Roman"/>
        </w:rPr>
        <w:t>://doi.org/10.1145/3479867</w:t>
      </w:r>
      <w:proofErr w:type="gramEnd"/>
      <w:r w:rsidRPr="000363A0">
        <w:rPr>
          <w:rFonts w:ascii="Aptos" w:hAnsi="Aptos" w:cs="Times New Roman"/>
        </w:rPr>
        <w:t>.</w:t>
      </w:r>
    </w:p>
    <w:p w14:paraId="70A5FE37" w14:textId="77777777" w:rsidR="000363A0" w:rsidRPr="000363A0" w:rsidRDefault="000363A0" w:rsidP="000363A0">
      <w:pPr>
        <w:autoSpaceDE w:val="0"/>
        <w:autoSpaceDN w:val="0"/>
        <w:adjustRightInd w:val="0"/>
        <w:jc w:val="both"/>
        <w:rPr>
          <w:rFonts w:ascii="Aptos" w:hAnsi="Aptos" w:cs="Times New Roman"/>
        </w:rPr>
      </w:pPr>
      <w:r w:rsidRPr="000363A0">
        <w:rPr>
          <w:rFonts w:ascii="Aptos" w:hAnsi="Aptos" w:cs="Times New Roman"/>
        </w:rPr>
        <w:t xml:space="preserve">[5] </w:t>
      </w:r>
      <w:proofErr w:type="spellStart"/>
      <w:r w:rsidRPr="000363A0">
        <w:rPr>
          <w:rFonts w:ascii="Aptos" w:hAnsi="Aptos" w:cs="Times New Roman"/>
        </w:rPr>
        <w:t>Steup</w:t>
      </w:r>
      <w:proofErr w:type="spellEnd"/>
      <w:r w:rsidRPr="000363A0">
        <w:rPr>
          <w:rFonts w:ascii="Aptos" w:hAnsi="Aptos" w:cs="Times New Roman"/>
        </w:rPr>
        <w:t xml:space="preserve">, R., Dombrowski, L. and </w:t>
      </w:r>
      <w:proofErr w:type="spellStart"/>
      <w:r w:rsidRPr="000363A0">
        <w:rPr>
          <w:rFonts w:ascii="Aptos" w:hAnsi="Aptos" w:cs="Times New Roman"/>
        </w:rPr>
        <w:t>Su</w:t>
      </w:r>
      <w:proofErr w:type="spellEnd"/>
      <w:r w:rsidRPr="000363A0">
        <w:rPr>
          <w:rFonts w:ascii="Aptos" w:hAnsi="Aptos" w:cs="Times New Roman"/>
        </w:rPr>
        <w:t>, N.M. 2019. Feeding the World with Data: Visions of Data-Driven Farming. Proceedings of the 2019 on Designing</w:t>
      </w:r>
    </w:p>
    <w:p w14:paraId="5B3B04BC" w14:textId="4360D3D3" w:rsidR="000363A0" w:rsidRPr="000363A0" w:rsidRDefault="000363A0" w:rsidP="000363A0">
      <w:pPr>
        <w:jc w:val="both"/>
        <w:rPr>
          <w:rFonts w:ascii="Aptos" w:hAnsi="Aptos" w:cs="Times New Roman"/>
        </w:rPr>
      </w:pPr>
      <w:r w:rsidRPr="000363A0">
        <w:rPr>
          <w:rFonts w:ascii="Aptos" w:hAnsi="Aptos" w:cs="Times New Roman"/>
        </w:rPr>
        <w:t>Interactive Systems Conference (New York, NY, USA, Jun. 2019), 1503–1515.</w:t>
      </w:r>
    </w:p>
    <w:p w14:paraId="0708B29F" w14:textId="77777777" w:rsidR="000363A0" w:rsidRPr="000363A0" w:rsidRDefault="000363A0" w:rsidP="000363A0">
      <w:pPr>
        <w:jc w:val="both"/>
        <w:rPr>
          <w:rFonts w:ascii="Aptos" w:hAnsi="Aptos" w:cs="Times New Roman"/>
        </w:rPr>
      </w:pPr>
    </w:p>
    <w:p w14:paraId="24AB0B6D" w14:textId="77777777" w:rsidR="000363A0" w:rsidRPr="000363A0" w:rsidRDefault="000363A0" w:rsidP="000363A0">
      <w:pPr>
        <w:jc w:val="both"/>
        <w:rPr>
          <w:rFonts w:ascii="Aptos" w:hAnsi="Aptos" w:cs="Times New Roman"/>
        </w:rPr>
      </w:pPr>
    </w:p>
    <w:p w14:paraId="0D816E5E" w14:textId="78CFDA4A" w:rsidR="000363A0" w:rsidRPr="000363A0" w:rsidRDefault="000363A0" w:rsidP="000363A0">
      <w:pPr>
        <w:jc w:val="both"/>
        <w:rPr>
          <w:rFonts w:ascii="Aptos" w:hAnsi="Aptos" w:cs="Times New Roman"/>
        </w:rPr>
      </w:pPr>
      <w:r w:rsidRPr="000363A0">
        <w:rPr>
          <w:rFonts w:ascii="Aptos" w:hAnsi="Aptos" w:cs="Times New Roman"/>
        </w:rPr>
        <w:br w:type="page"/>
      </w:r>
    </w:p>
    <w:p w14:paraId="58F6403E" w14:textId="77777777" w:rsidR="000363A0" w:rsidRPr="000363A0" w:rsidRDefault="000363A0" w:rsidP="000363A0">
      <w:pPr>
        <w:jc w:val="both"/>
        <w:rPr>
          <w:rFonts w:ascii="Aptos" w:hAnsi="Aptos" w:cs="Times New Roman"/>
        </w:rPr>
      </w:pPr>
    </w:p>
    <w:p w14:paraId="2806F4BF" w14:textId="77777777" w:rsidR="000363A0" w:rsidRPr="000363A0" w:rsidRDefault="000363A0" w:rsidP="000363A0">
      <w:pPr>
        <w:jc w:val="both"/>
        <w:rPr>
          <w:rFonts w:ascii="Aptos" w:hAnsi="Aptos" w:cs="Times New Roman"/>
        </w:rPr>
      </w:pPr>
    </w:p>
    <w:p w14:paraId="6A9DD66E" w14:textId="571F9358" w:rsidR="000363A0" w:rsidRPr="000363A0" w:rsidRDefault="000363A0" w:rsidP="000363A0">
      <w:pPr>
        <w:pStyle w:val="ListParagraph"/>
        <w:numPr>
          <w:ilvl w:val="0"/>
          <w:numId w:val="1"/>
        </w:numPr>
        <w:jc w:val="both"/>
        <w:rPr>
          <w:rFonts w:ascii="Aptos" w:hAnsi="Aptos" w:cs="Times New Roman"/>
        </w:rPr>
      </w:pPr>
      <w:r w:rsidRPr="000363A0">
        <w:rPr>
          <w:rFonts w:ascii="Aptos" w:hAnsi="Aptos" w:cs="Times New Roman"/>
        </w:rPr>
        <w:t>Michela Musto</w:t>
      </w:r>
    </w:p>
    <w:p w14:paraId="39535851" w14:textId="77777777" w:rsidR="000363A0" w:rsidRPr="000363A0" w:rsidRDefault="000363A0" w:rsidP="000363A0">
      <w:pPr>
        <w:jc w:val="both"/>
        <w:rPr>
          <w:rFonts w:ascii="Aptos" w:hAnsi="Aptos" w:cs="Times New Roman"/>
        </w:rPr>
      </w:pPr>
    </w:p>
    <w:p w14:paraId="2AE46523" w14:textId="77777777" w:rsidR="000363A0" w:rsidRPr="000363A0" w:rsidRDefault="000363A0" w:rsidP="000363A0">
      <w:pPr>
        <w:jc w:val="both"/>
        <w:rPr>
          <w:rFonts w:ascii="Aptos" w:hAnsi="Aptos" w:cs="Times New Roman"/>
        </w:rPr>
      </w:pPr>
    </w:p>
    <w:p w14:paraId="6F838F3E" w14:textId="77777777" w:rsidR="000363A0" w:rsidRPr="000363A0" w:rsidRDefault="000363A0" w:rsidP="000363A0">
      <w:pPr>
        <w:jc w:val="both"/>
        <w:rPr>
          <w:rFonts w:ascii="Aptos" w:hAnsi="Aptos"/>
          <w:b/>
          <w:bCs/>
          <w:lang w:val="en-US"/>
        </w:rPr>
      </w:pPr>
      <w:r w:rsidRPr="000363A0">
        <w:rPr>
          <w:rFonts w:ascii="Aptos" w:hAnsi="Aptos"/>
          <w:b/>
          <w:bCs/>
          <w:lang w:val="en-US"/>
        </w:rPr>
        <w:t>Smart Couture: Enhancing Human Capabilities and Promoting Long-lasting, Sustainable Fashion</w:t>
      </w:r>
    </w:p>
    <w:p w14:paraId="251B297F" w14:textId="77777777" w:rsidR="000363A0" w:rsidRPr="000363A0" w:rsidRDefault="000363A0" w:rsidP="000363A0">
      <w:pPr>
        <w:jc w:val="both"/>
        <w:rPr>
          <w:rFonts w:ascii="Aptos" w:hAnsi="Aptos"/>
          <w:b/>
          <w:bCs/>
          <w:lang w:val="en-US"/>
        </w:rPr>
      </w:pPr>
    </w:p>
    <w:p w14:paraId="1E13BD3D" w14:textId="77777777" w:rsidR="000363A0" w:rsidRPr="000363A0" w:rsidRDefault="000363A0" w:rsidP="000363A0">
      <w:pPr>
        <w:jc w:val="both"/>
        <w:rPr>
          <w:rFonts w:ascii="Aptos" w:hAnsi="Aptos"/>
          <w:lang w:val="en-US"/>
        </w:rPr>
      </w:pPr>
      <w:r w:rsidRPr="000363A0">
        <w:rPr>
          <w:rFonts w:ascii="Aptos" w:hAnsi="Aptos"/>
          <w:lang w:val="en-US"/>
        </w:rPr>
        <w:t>Michela MUSTO</w:t>
      </w:r>
    </w:p>
    <w:p w14:paraId="5E66A9FD" w14:textId="77777777" w:rsidR="000363A0" w:rsidRPr="000363A0" w:rsidRDefault="000363A0" w:rsidP="000363A0">
      <w:pPr>
        <w:jc w:val="both"/>
        <w:rPr>
          <w:rFonts w:ascii="Aptos" w:hAnsi="Aptos"/>
          <w:lang w:val="en-US"/>
        </w:rPr>
      </w:pPr>
    </w:p>
    <w:p w14:paraId="764F874D" w14:textId="77777777" w:rsidR="000363A0" w:rsidRPr="000363A0" w:rsidRDefault="000363A0" w:rsidP="000363A0">
      <w:pPr>
        <w:jc w:val="both"/>
        <w:rPr>
          <w:rFonts w:ascii="Aptos" w:hAnsi="Aptos"/>
        </w:rPr>
      </w:pPr>
      <w:proofErr w:type="spellStart"/>
      <w:r w:rsidRPr="000363A0">
        <w:rPr>
          <w:rFonts w:ascii="Aptos" w:hAnsi="Aptos"/>
        </w:rPr>
        <w:t>Università</w:t>
      </w:r>
      <w:proofErr w:type="spellEnd"/>
      <w:r w:rsidRPr="000363A0">
        <w:rPr>
          <w:rFonts w:ascii="Aptos" w:hAnsi="Aptos"/>
        </w:rPr>
        <w:t xml:space="preserve"> </w:t>
      </w:r>
      <w:proofErr w:type="spellStart"/>
      <w:r w:rsidRPr="000363A0">
        <w:rPr>
          <w:rFonts w:ascii="Aptos" w:hAnsi="Aptos"/>
        </w:rPr>
        <w:t>degli</w:t>
      </w:r>
      <w:proofErr w:type="spellEnd"/>
      <w:r w:rsidRPr="000363A0">
        <w:rPr>
          <w:rFonts w:ascii="Aptos" w:hAnsi="Aptos"/>
        </w:rPr>
        <w:t xml:space="preserve"> </w:t>
      </w:r>
      <w:proofErr w:type="spellStart"/>
      <w:r w:rsidRPr="000363A0">
        <w:rPr>
          <w:rFonts w:ascii="Aptos" w:hAnsi="Aptos"/>
        </w:rPr>
        <w:t>Studi</w:t>
      </w:r>
      <w:proofErr w:type="spellEnd"/>
      <w:r w:rsidRPr="000363A0">
        <w:rPr>
          <w:rFonts w:ascii="Aptos" w:hAnsi="Aptos"/>
        </w:rPr>
        <w:t xml:space="preserve"> </w:t>
      </w:r>
      <w:proofErr w:type="spellStart"/>
      <w:r w:rsidRPr="000363A0">
        <w:rPr>
          <w:rFonts w:ascii="Aptos" w:hAnsi="Aptos"/>
        </w:rPr>
        <w:t>della</w:t>
      </w:r>
      <w:proofErr w:type="spellEnd"/>
      <w:r w:rsidRPr="000363A0">
        <w:rPr>
          <w:rFonts w:ascii="Aptos" w:hAnsi="Aptos"/>
        </w:rPr>
        <w:t xml:space="preserve"> Campania “Luigi </w:t>
      </w:r>
      <w:proofErr w:type="spellStart"/>
      <w:r w:rsidRPr="000363A0">
        <w:rPr>
          <w:rFonts w:ascii="Aptos" w:hAnsi="Aptos"/>
        </w:rPr>
        <w:t>Vanvitelli</w:t>
      </w:r>
      <w:proofErr w:type="spellEnd"/>
      <w:r w:rsidRPr="000363A0">
        <w:rPr>
          <w:rFonts w:ascii="Aptos" w:hAnsi="Aptos"/>
        </w:rPr>
        <w:t>”</w:t>
      </w:r>
    </w:p>
    <w:p w14:paraId="121DD8B4" w14:textId="77777777" w:rsidR="000363A0" w:rsidRPr="000363A0" w:rsidRDefault="000363A0" w:rsidP="000363A0">
      <w:pPr>
        <w:jc w:val="both"/>
        <w:rPr>
          <w:rFonts w:ascii="Aptos" w:hAnsi="Aptos"/>
        </w:rPr>
      </w:pPr>
    </w:p>
    <w:p w14:paraId="1E0F3281" w14:textId="77777777" w:rsidR="000363A0" w:rsidRPr="000363A0" w:rsidRDefault="000363A0" w:rsidP="000363A0">
      <w:pPr>
        <w:jc w:val="both"/>
        <w:rPr>
          <w:rFonts w:ascii="Aptos" w:hAnsi="Aptos"/>
          <w:lang w:val="en-US"/>
        </w:rPr>
      </w:pPr>
      <w:r w:rsidRPr="000363A0">
        <w:rPr>
          <w:rFonts w:ascii="Aptos" w:hAnsi="Aptos"/>
          <w:lang w:val="en-US"/>
        </w:rPr>
        <w:t>Fashion, traditionally perceived as an expression of individual identity and creativity, can be transformed into a dynamic technological enclave capable of interacting with both the wearer and the environment. The integration of Internet of Things (IoT) technologies into garments represents a promising avenue for enhancing human capabilities while addressing critical sustainability challenges within the industry. This abstract explores the potential for augmenting human functionality through IoT-enabled garments and advocates for the development of durable, long-lasting fashion that counters the prevalent fast-consuming system.</w:t>
      </w:r>
    </w:p>
    <w:p w14:paraId="481152C8" w14:textId="77777777" w:rsidR="000363A0" w:rsidRPr="000363A0" w:rsidRDefault="000363A0" w:rsidP="000363A0">
      <w:pPr>
        <w:jc w:val="both"/>
        <w:rPr>
          <w:rFonts w:ascii="Aptos" w:hAnsi="Aptos"/>
          <w:lang w:val="en-US"/>
        </w:rPr>
      </w:pPr>
    </w:p>
    <w:p w14:paraId="5BA1AD47" w14:textId="77777777" w:rsidR="000363A0" w:rsidRPr="000363A0" w:rsidRDefault="000363A0" w:rsidP="000363A0">
      <w:pPr>
        <w:jc w:val="both"/>
        <w:rPr>
          <w:rFonts w:ascii="Aptos" w:hAnsi="Aptos"/>
          <w:lang w:val="en-US"/>
        </w:rPr>
      </w:pPr>
      <w:r w:rsidRPr="000363A0">
        <w:rPr>
          <w:rFonts w:ascii="Aptos" w:hAnsi="Aptos"/>
          <w:lang w:val="en-US"/>
        </w:rPr>
        <w:t>The current fashion industry is marked by rapid trend turnover, leading to excessive consumption and significant environmental impacts (</w:t>
      </w:r>
      <w:proofErr w:type="spellStart"/>
      <w:r w:rsidRPr="000363A0">
        <w:rPr>
          <w:rFonts w:ascii="Aptos" w:hAnsi="Aptos"/>
          <w:lang w:val="en-US"/>
        </w:rPr>
        <w:t>Niinimäki</w:t>
      </w:r>
      <w:proofErr w:type="spellEnd"/>
      <w:r w:rsidRPr="000363A0">
        <w:rPr>
          <w:rFonts w:ascii="Aptos" w:hAnsi="Aptos"/>
          <w:lang w:val="en-US"/>
        </w:rPr>
        <w:t xml:space="preserve"> et al., 2020; Fletcher, 2014). By integrating IoT technologies, we can transition towards a model of long-lasting fashion that emphasizes durability, reusability, and adaptability (Bauer &amp; Jones, 2022). IoT-embedded clothing can offer customizable functionalities such as health monitoring, environmental sensing, adaptive aesthetics, and personal comfort adjustments (Choi &amp; Lee, 2020; Kwon &amp; Kim, 2017; </w:t>
      </w:r>
      <w:proofErr w:type="spellStart"/>
      <w:r w:rsidRPr="000363A0">
        <w:rPr>
          <w:rFonts w:ascii="Aptos" w:hAnsi="Aptos"/>
          <w:lang w:val="en-US"/>
        </w:rPr>
        <w:t>Stoppa</w:t>
      </w:r>
      <w:proofErr w:type="spellEnd"/>
      <w:r w:rsidRPr="000363A0">
        <w:rPr>
          <w:rFonts w:ascii="Aptos" w:hAnsi="Aptos"/>
          <w:lang w:val="en-US"/>
        </w:rPr>
        <w:t xml:space="preserve"> &amp; </w:t>
      </w:r>
      <w:proofErr w:type="spellStart"/>
      <w:r w:rsidRPr="000363A0">
        <w:rPr>
          <w:rFonts w:ascii="Aptos" w:hAnsi="Aptos"/>
          <w:lang w:val="en-US"/>
        </w:rPr>
        <w:t>Chiolerio</w:t>
      </w:r>
      <w:proofErr w:type="spellEnd"/>
      <w:r w:rsidRPr="000363A0">
        <w:rPr>
          <w:rFonts w:ascii="Aptos" w:hAnsi="Aptos"/>
          <w:lang w:val="en-US"/>
        </w:rPr>
        <w:t>, 2014). These innovations not only enhance the human experience but also provide a platform for continuous interaction and personalization, promoting a sustainable consumption pattern that reduces waste and extends the lifecycle of garments (</w:t>
      </w:r>
      <w:proofErr w:type="spellStart"/>
      <w:r w:rsidRPr="000363A0">
        <w:rPr>
          <w:rFonts w:ascii="Aptos" w:hAnsi="Aptos"/>
          <w:lang w:val="en-US"/>
        </w:rPr>
        <w:t>Bocken</w:t>
      </w:r>
      <w:proofErr w:type="spellEnd"/>
      <w:r w:rsidRPr="000363A0">
        <w:rPr>
          <w:rFonts w:ascii="Aptos" w:hAnsi="Aptos"/>
          <w:lang w:val="en-US"/>
        </w:rPr>
        <w:t xml:space="preserve"> et al., 2016; </w:t>
      </w:r>
      <w:proofErr w:type="spellStart"/>
      <w:r w:rsidRPr="000363A0">
        <w:rPr>
          <w:rFonts w:ascii="Aptos" w:hAnsi="Aptos"/>
          <w:lang w:val="en-US"/>
        </w:rPr>
        <w:t>Niinimäki</w:t>
      </w:r>
      <w:proofErr w:type="spellEnd"/>
      <w:r w:rsidRPr="000363A0">
        <w:rPr>
          <w:rFonts w:ascii="Aptos" w:hAnsi="Aptos"/>
          <w:lang w:val="en-US"/>
        </w:rPr>
        <w:t xml:space="preserve"> &amp; </w:t>
      </w:r>
      <w:proofErr w:type="spellStart"/>
      <w:r w:rsidRPr="000363A0">
        <w:rPr>
          <w:rFonts w:ascii="Aptos" w:hAnsi="Aptos"/>
          <w:lang w:val="en-US"/>
        </w:rPr>
        <w:t>Hassi</w:t>
      </w:r>
      <w:proofErr w:type="spellEnd"/>
      <w:r w:rsidRPr="000363A0">
        <w:rPr>
          <w:rFonts w:ascii="Aptos" w:hAnsi="Aptos"/>
          <w:lang w:val="en-US"/>
        </w:rPr>
        <w:t>, 2011). IoT-enabled clothing can indeed be updated with new functionalities over time, thereby eliminating the need for frequent replacements and fostering a deeper connection between consumers and their clothing (Choi &amp; Lee, 2020; Ryan, 2014). Research within the Waste and Resources Action Program (WRAP) context indicates that the average lifespan of garment utilization in the UK is approximately three years (Maddox, 2018). Globally, between 2014 and 2020, the frequency of garment use before disposal has halved. This demonstrates the urgent need for a shift towards durable, reusable, and adaptable fashion facilitated by IoT technologies. Hyper-customized fashion, achieved through personalized functionalities embedded in clothing, can mitigate the disposal of unused or prematurely discarded garments. This stands in direct contrast to the fast fashion culture that encourages frequent purchasing and disposal (Fletcher, 2014).</w:t>
      </w:r>
    </w:p>
    <w:p w14:paraId="648168D6" w14:textId="77777777" w:rsidR="000363A0" w:rsidRPr="000363A0" w:rsidRDefault="000363A0" w:rsidP="000363A0">
      <w:pPr>
        <w:jc w:val="both"/>
        <w:rPr>
          <w:rFonts w:ascii="Aptos" w:hAnsi="Aptos"/>
          <w:lang w:val="en-US"/>
        </w:rPr>
      </w:pPr>
    </w:p>
    <w:p w14:paraId="539FD719" w14:textId="77777777" w:rsidR="000363A0" w:rsidRPr="000363A0" w:rsidRDefault="000363A0" w:rsidP="000363A0">
      <w:pPr>
        <w:jc w:val="both"/>
        <w:rPr>
          <w:rFonts w:ascii="Aptos" w:hAnsi="Aptos"/>
          <w:lang w:val="en-US"/>
        </w:rPr>
      </w:pPr>
      <w:r w:rsidRPr="000363A0">
        <w:rPr>
          <w:rFonts w:ascii="Aptos" w:hAnsi="Aptos"/>
          <w:lang w:val="en-US"/>
        </w:rPr>
        <w:t xml:space="preserve">Hyper-customized garments can be produced more resource-efficiently, reducing the need for mass production and inventory surplus. Advanced on-demand manufacturing technologies can create garments that precisely meet customer specifications, </w:t>
      </w:r>
      <w:r w:rsidRPr="000363A0">
        <w:rPr>
          <w:rFonts w:ascii="Aptos" w:hAnsi="Aptos"/>
          <w:lang w:val="en-US"/>
        </w:rPr>
        <w:lastRenderedPageBreak/>
        <w:t>minimizing material and energy waste (</w:t>
      </w:r>
      <w:proofErr w:type="spellStart"/>
      <w:r w:rsidRPr="000363A0">
        <w:rPr>
          <w:rFonts w:ascii="Aptos" w:hAnsi="Aptos"/>
          <w:lang w:val="en-US"/>
        </w:rPr>
        <w:t>Bocken</w:t>
      </w:r>
      <w:proofErr w:type="spellEnd"/>
      <w:r w:rsidRPr="000363A0">
        <w:rPr>
          <w:rFonts w:ascii="Aptos" w:hAnsi="Aptos"/>
          <w:lang w:val="en-US"/>
        </w:rPr>
        <w:t xml:space="preserve"> et al., 2016). These garments can be designed to adapt to various contexts and needs through integrated functionalities that can be updated or modified over time, enhancing both the user experience and the garment's utility (</w:t>
      </w:r>
      <w:proofErr w:type="spellStart"/>
      <w:r w:rsidRPr="000363A0">
        <w:rPr>
          <w:rFonts w:ascii="Aptos" w:hAnsi="Aptos"/>
          <w:lang w:val="en-US"/>
        </w:rPr>
        <w:t>Stoppa</w:t>
      </w:r>
      <w:proofErr w:type="spellEnd"/>
      <w:r w:rsidRPr="000363A0">
        <w:rPr>
          <w:rFonts w:ascii="Aptos" w:hAnsi="Aptos"/>
          <w:lang w:val="en-US"/>
        </w:rPr>
        <w:t xml:space="preserve"> &amp; </w:t>
      </w:r>
      <w:proofErr w:type="spellStart"/>
      <w:r w:rsidRPr="000363A0">
        <w:rPr>
          <w:rFonts w:ascii="Aptos" w:hAnsi="Aptos"/>
          <w:lang w:val="en-US"/>
        </w:rPr>
        <w:t>Chiolerio</w:t>
      </w:r>
      <w:proofErr w:type="spellEnd"/>
      <w:r w:rsidRPr="000363A0">
        <w:rPr>
          <w:rFonts w:ascii="Aptos" w:hAnsi="Aptos"/>
          <w:lang w:val="en-US"/>
        </w:rPr>
        <w:t>, 2014; Choi &amp; Lee, 2020). The integration of IoT technologies in fashion enables an unprecedented level of customization, fostering a paradigm able to catalyze a virtuous demand that advocates for less, but better, or as described by the fashion designer Vivienne Westwood in an interview of 2014 for The Guardians "Buy less. Choose well. Make it last." (Battel, 2022). By enabling garments to evolve with changing needs and preferences, the fashion industry can move towards a more sustainable and responsible future.</w:t>
      </w:r>
    </w:p>
    <w:p w14:paraId="360BAF80" w14:textId="77777777" w:rsidR="000363A0" w:rsidRPr="000363A0" w:rsidRDefault="000363A0" w:rsidP="000363A0">
      <w:pPr>
        <w:jc w:val="both"/>
        <w:rPr>
          <w:rFonts w:ascii="Aptos" w:hAnsi="Aptos"/>
          <w:lang w:val="en-US"/>
        </w:rPr>
      </w:pPr>
      <w:r w:rsidRPr="000363A0">
        <w:rPr>
          <w:rFonts w:ascii="Aptos" w:hAnsi="Aptos"/>
          <w:lang w:val="en-US"/>
        </w:rPr>
        <w:br w:type="page"/>
      </w:r>
      <w:r w:rsidRPr="000363A0">
        <w:rPr>
          <w:rFonts w:ascii="Aptos" w:hAnsi="Aptos"/>
          <w:b/>
          <w:bCs/>
          <w:lang w:val="en-US"/>
        </w:rPr>
        <w:lastRenderedPageBreak/>
        <w:t>References</w:t>
      </w:r>
    </w:p>
    <w:p w14:paraId="79589E09" w14:textId="77777777" w:rsidR="000363A0" w:rsidRPr="000363A0" w:rsidRDefault="000363A0" w:rsidP="000363A0">
      <w:pPr>
        <w:jc w:val="both"/>
        <w:rPr>
          <w:rFonts w:ascii="Aptos" w:hAnsi="Aptos"/>
          <w:lang w:val="en-US"/>
        </w:rPr>
      </w:pPr>
    </w:p>
    <w:p w14:paraId="57B3A59F" w14:textId="77777777" w:rsidR="000363A0" w:rsidRPr="000363A0" w:rsidRDefault="000363A0" w:rsidP="000363A0">
      <w:pPr>
        <w:jc w:val="both"/>
        <w:rPr>
          <w:rFonts w:ascii="Aptos" w:hAnsi="Aptos"/>
          <w:lang w:val="en-US"/>
        </w:rPr>
      </w:pPr>
      <w:r w:rsidRPr="000363A0">
        <w:rPr>
          <w:rFonts w:ascii="Aptos" w:hAnsi="Aptos"/>
          <w:lang w:val="en-US"/>
        </w:rPr>
        <w:t xml:space="preserve">Battel, V. (2022). Buy less, choose well, make it lasts! </w:t>
      </w:r>
      <w:r w:rsidRPr="000363A0">
        <w:rPr>
          <w:rFonts w:ascii="Aptos" w:hAnsi="Aptos"/>
        </w:rPr>
        <w:t xml:space="preserve">Il motto di Vivienne Westwood per la </w:t>
      </w:r>
      <w:proofErr w:type="spellStart"/>
      <w:r w:rsidRPr="000363A0">
        <w:rPr>
          <w:rFonts w:ascii="Aptos" w:hAnsi="Aptos"/>
        </w:rPr>
        <w:t>sostenibilità</w:t>
      </w:r>
      <w:proofErr w:type="spellEnd"/>
      <w:r w:rsidRPr="000363A0">
        <w:rPr>
          <w:rFonts w:ascii="Aptos" w:hAnsi="Aptos"/>
        </w:rPr>
        <w:t xml:space="preserve">. </w:t>
      </w:r>
      <w:r w:rsidRPr="000363A0">
        <w:rPr>
          <w:rFonts w:ascii="Aptos" w:hAnsi="Aptos"/>
          <w:lang w:val="en-US"/>
        </w:rPr>
        <w:t>Available via Fashion Journal https://www.ffri.it/fashion-journal/corsi/moda-sostenibile/vivienne-westwood-sostenibilita/. Accessed 02 Feb 2024</w:t>
      </w:r>
    </w:p>
    <w:p w14:paraId="21E5A340" w14:textId="77777777" w:rsidR="000363A0" w:rsidRPr="000363A0" w:rsidRDefault="000363A0" w:rsidP="000363A0">
      <w:pPr>
        <w:jc w:val="both"/>
        <w:rPr>
          <w:rFonts w:ascii="Aptos" w:hAnsi="Aptos"/>
          <w:lang w:val="en-US"/>
        </w:rPr>
      </w:pPr>
    </w:p>
    <w:p w14:paraId="01B4839A" w14:textId="77777777" w:rsidR="000363A0" w:rsidRPr="000363A0" w:rsidRDefault="000363A0" w:rsidP="000363A0">
      <w:pPr>
        <w:jc w:val="both"/>
        <w:rPr>
          <w:rFonts w:ascii="Aptos" w:hAnsi="Aptos"/>
          <w:lang w:val="en-US"/>
        </w:rPr>
      </w:pPr>
      <w:r w:rsidRPr="000363A0">
        <w:rPr>
          <w:rFonts w:ascii="Aptos" w:hAnsi="Aptos"/>
          <w:lang w:val="en-US"/>
        </w:rPr>
        <w:t>Bauer, R. A., &amp; Jones, M. L. (2012). Satisfaction and Continuance Intention in Consumer IoT: An Integrated Model. Journal of Interactive Marketing, 26(1), 33-43.</w:t>
      </w:r>
    </w:p>
    <w:p w14:paraId="05296B03" w14:textId="77777777" w:rsidR="000363A0" w:rsidRPr="000363A0" w:rsidRDefault="000363A0" w:rsidP="000363A0">
      <w:pPr>
        <w:jc w:val="both"/>
        <w:rPr>
          <w:rFonts w:ascii="Aptos" w:hAnsi="Aptos"/>
          <w:lang w:val="en-US"/>
        </w:rPr>
      </w:pPr>
    </w:p>
    <w:p w14:paraId="20FB112F" w14:textId="77777777" w:rsidR="000363A0" w:rsidRPr="000363A0" w:rsidRDefault="000363A0" w:rsidP="000363A0">
      <w:pPr>
        <w:jc w:val="both"/>
        <w:rPr>
          <w:rFonts w:ascii="Aptos" w:hAnsi="Aptos"/>
          <w:lang w:val="en-US"/>
        </w:rPr>
      </w:pPr>
      <w:proofErr w:type="spellStart"/>
      <w:r w:rsidRPr="000363A0">
        <w:rPr>
          <w:rFonts w:ascii="Aptos" w:hAnsi="Aptos"/>
          <w:lang w:val="en-US"/>
        </w:rPr>
        <w:t>Bocken</w:t>
      </w:r>
      <w:proofErr w:type="spellEnd"/>
      <w:r w:rsidRPr="000363A0">
        <w:rPr>
          <w:rFonts w:ascii="Aptos" w:hAnsi="Aptos"/>
          <w:lang w:val="en-US"/>
        </w:rPr>
        <w:t xml:space="preserve">, N. M. P., de </w:t>
      </w:r>
      <w:proofErr w:type="spellStart"/>
      <w:r w:rsidRPr="000363A0">
        <w:rPr>
          <w:rFonts w:ascii="Aptos" w:hAnsi="Aptos"/>
          <w:lang w:val="en-US"/>
        </w:rPr>
        <w:t>Pauw</w:t>
      </w:r>
      <w:proofErr w:type="spellEnd"/>
      <w:r w:rsidRPr="000363A0">
        <w:rPr>
          <w:rFonts w:ascii="Aptos" w:hAnsi="Aptos"/>
          <w:lang w:val="en-US"/>
        </w:rPr>
        <w:t xml:space="preserve">, I., Bakker, C., &amp; van der </w:t>
      </w:r>
      <w:proofErr w:type="spellStart"/>
      <w:r w:rsidRPr="000363A0">
        <w:rPr>
          <w:rFonts w:ascii="Aptos" w:hAnsi="Aptos"/>
          <w:lang w:val="en-US"/>
        </w:rPr>
        <w:t>Grinten</w:t>
      </w:r>
      <w:proofErr w:type="spellEnd"/>
      <w:r w:rsidRPr="000363A0">
        <w:rPr>
          <w:rFonts w:ascii="Aptos" w:hAnsi="Aptos"/>
          <w:lang w:val="en-US"/>
        </w:rPr>
        <w:t>, B. (2016). Product design and business model strategies for a circular economy. Journal of Industrial and Production Engineering, 33(5), 308-320.</w:t>
      </w:r>
    </w:p>
    <w:p w14:paraId="5ACF004D" w14:textId="77777777" w:rsidR="000363A0" w:rsidRPr="000363A0" w:rsidRDefault="000363A0" w:rsidP="000363A0">
      <w:pPr>
        <w:jc w:val="both"/>
        <w:rPr>
          <w:rFonts w:ascii="Aptos" w:hAnsi="Aptos"/>
          <w:lang w:val="en-US"/>
        </w:rPr>
      </w:pPr>
    </w:p>
    <w:p w14:paraId="524B6011" w14:textId="77777777" w:rsidR="000363A0" w:rsidRPr="000363A0" w:rsidRDefault="000363A0" w:rsidP="000363A0">
      <w:pPr>
        <w:jc w:val="both"/>
        <w:rPr>
          <w:rFonts w:ascii="Aptos" w:hAnsi="Aptos"/>
          <w:lang w:val="en-US"/>
        </w:rPr>
      </w:pPr>
      <w:r w:rsidRPr="000363A0">
        <w:rPr>
          <w:rFonts w:ascii="Aptos" w:hAnsi="Aptos"/>
          <w:lang w:val="en-US"/>
        </w:rPr>
        <w:t>Choi, J., &amp; Lee, H. (2020). Fashioning the Internet of Things (IoT): Technology and Fashion in the Age of the Internet. Fashion and Textiles, 7(1), 1-17.</w:t>
      </w:r>
    </w:p>
    <w:p w14:paraId="30B13AB4" w14:textId="77777777" w:rsidR="000363A0" w:rsidRPr="000363A0" w:rsidRDefault="000363A0" w:rsidP="000363A0">
      <w:pPr>
        <w:jc w:val="both"/>
        <w:rPr>
          <w:rFonts w:ascii="Aptos" w:hAnsi="Aptos"/>
          <w:lang w:val="en-US"/>
        </w:rPr>
      </w:pPr>
    </w:p>
    <w:p w14:paraId="1A25CCA8" w14:textId="77777777" w:rsidR="000363A0" w:rsidRPr="000363A0" w:rsidRDefault="000363A0" w:rsidP="000363A0">
      <w:pPr>
        <w:jc w:val="both"/>
        <w:rPr>
          <w:rFonts w:ascii="Aptos" w:hAnsi="Aptos"/>
          <w:lang w:val="en-US"/>
        </w:rPr>
      </w:pPr>
      <w:r w:rsidRPr="000363A0">
        <w:rPr>
          <w:rFonts w:ascii="Aptos" w:hAnsi="Aptos"/>
          <w:lang w:val="en-US"/>
        </w:rPr>
        <w:t>Fletcher, K. (2014). Sustainable Fashion and Textiles: Design Journeys. Routledge.</w:t>
      </w:r>
    </w:p>
    <w:p w14:paraId="37290486" w14:textId="77777777" w:rsidR="000363A0" w:rsidRPr="000363A0" w:rsidRDefault="000363A0" w:rsidP="000363A0">
      <w:pPr>
        <w:jc w:val="both"/>
        <w:rPr>
          <w:rFonts w:ascii="Aptos" w:hAnsi="Aptos"/>
          <w:lang w:val="en-US"/>
        </w:rPr>
      </w:pPr>
    </w:p>
    <w:p w14:paraId="3B9F6B10" w14:textId="77777777" w:rsidR="000363A0" w:rsidRPr="000363A0" w:rsidRDefault="000363A0" w:rsidP="000363A0">
      <w:pPr>
        <w:jc w:val="both"/>
        <w:rPr>
          <w:rFonts w:ascii="Aptos" w:hAnsi="Aptos"/>
          <w:lang w:val="en-US"/>
        </w:rPr>
      </w:pPr>
      <w:r w:rsidRPr="000363A0">
        <w:rPr>
          <w:rFonts w:ascii="Aptos" w:hAnsi="Aptos"/>
          <w:lang w:val="en-US"/>
        </w:rPr>
        <w:t>Kwon, S., &amp; Kim, Y. (2017). E-textiles for Wearable Applications: Review and Research Directions. Sensors, 17(5), 1-27.</w:t>
      </w:r>
    </w:p>
    <w:p w14:paraId="6DDB0B3E" w14:textId="77777777" w:rsidR="000363A0" w:rsidRPr="000363A0" w:rsidRDefault="000363A0" w:rsidP="000363A0">
      <w:pPr>
        <w:jc w:val="both"/>
        <w:rPr>
          <w:rFonts w:ascii="Aptos" w:hAnsi="Aptos"/>
          <w:lang w:val="en-US"/>
        </w:rPr>
      </w:pPr>
    </w:p>
    <w:p w14:paraId="074B3FD7" w14:textId="77777777" w:rsidR="000363A0" w:rsidRPr="000363A0" w:rsidRDefault="000363A0" w:rsidP="000363A0">
      <w:pPr>
        <w:jc w:val="both"/>
        <w:rPr>
          <w:rFonts w:ascii="Aptos" w:hAnsi="Aptos"/>
          <w:lang w:val="en-US"/>
        </w:rPr>
      </w:pPr>
      <w:r w:rsidRPr="000363A0">
        <w:rPr>
          <w:rFonts w:ascii="Aptos" w:hAnsi="Aptos"/>
          <w:lang w:val="en-US"/>
        </w:rPr>
        <w:t>Maddox, P. (2018). Garment lifespan: Insights from the UK. Waste and Resources Action Program (WRAP).</w:t>
      </w:r>
    </w:p>
    <w:p w14:paraId="6CDCC763" w14:textId="77777777" w:rsidR="000363A0" w:rsidRPr="000363A0" w:rsidRDefault="000363A0" w:rsidP="000363A0">
      <w:pPr>
        <w:jc w:val="both"/>
        <w:rPr>
          <w:rFonts w:ascii="Aptos" w:hAnsi="Aptos"/>
          <w:lang w:val="en-US"/>
        </w:rPr>
      </w:pPr>
    </w:p>
    <w:p w14:paraId="6CDA0837" w14:textId="77777777" w:rsidR="000363A0" w:rsidRPr="000363A0" w:rsidRDefault="000363A0" w:rsidP="000363A0">
      <w:pPr>
        <w:jc w:val="both"/>
        <w:rPr>
          <w:rFonts w:ascii="Aptos" w:hAnsi="Aptos"/>
          <w:lang w:val="en-US"/>
        </w:rPr>
      </w:pPr>
      <w:proofErr w:type="spellStart"/>
      <w:r w:rsidRPr="000363A0">
        <w:rPr>
          <w:rFonts w:ascii="Aptos" w:hAnsi="Aptos"/>
          <w:lang w:val="en-US"/>
        </w:rPr>
        <w:t>Niinimäki</w:t>
      </w:r>
      <w:proofErr w:type="spellEnd"/>
      <w:r w:rsidRPr="000363A0">
        <w:rPr>
          <w:rFonts w:ascii="Aptos" w:hAnsi="Aptos"/>
          <w:lang w:val="en-US"/>
        </w:rPr>
        <w:t xml:space="preserve">, K., &amp; </w:t>
      </w:r>
      <w:proofErr w:type="spellStart"/>
      <w:r w:rsidRPr="000363A0">
        <w:rPr>
          <w:rFonts w:ascii="Aptos" w:hAnsi="Aptos"/>
          <w:lang w:val="en-US"/>
        </w:rPr>
        <w:t>Hassi</w:t>
      </w:r>
      <w:proofErr w:type="spellEnd"/>
      <w:r w:rsidRPr="000363A0">
        <w:rPr>
          <w:rFonts w:ascii="Aptos" w:hAnsi="Aptos"/>
          <w:lang w:val="en-US"/>
        </w:rPr>
        <w:t>, L. (2011). Emerging design strategies in sustainable production and consumption of textiles and clothing. Journal of Cleaner Production, 19(16), 1876-1883.</w:t>
      </w:r>
    </w:p>
    <w:p w14:paraId="037A0B5D" w14:textId="77777777" w:rsidR="000363A0" w:rsidRPr="000363A0" w:rsidRDefault="000363A0" w:rsidP="000363A0">
      <w:pPr>
        <w:jc w:val="both"/>
        <w:rPr>
          <w:rFonts w:ascii="Aptos" w:hAnsi="Aptos"/>
          <w:lang w:val="en-US"/>
        </w:rPr>
      </w:pPr>
    </w:p>
    <w:p w14:paraId="7C12991E" w14:textId="77777777" w:rsidR="000363A0" w:rsidRPr="000363A0" w:rsidRDefault="000363A0" w:rsidP="000363A0">
      <w:pPr>
        <w:jc w:val="both"/>
        <w:rPr>
          <w:rFonts w:ascii="Aptos" w:hAnsi="Aptos"/>
          <w:lang w:val="en-US"/>
        </w:rPr>
      </w:pPr>
      <w:proofErr w:type="spellStart"/>
      <w:r w:rsidRPr="000363A0">
        <w:rPr>
          <w:rFonts w:ascii="Aptos" w:hAnsi="Aptos"/>
          <w:lang w:val="en-US"/>
        </w:rPr>
        <w:t>Niinimäki</w:t>
      </w:r>
      <w:proofErr w:type="spellEnd"/>
      <w:r w:rsidRPr="000363A0">
        <w:rPr>
          <w:rFonts w:ascii="Aptos" w:hAnsi="Aptos"/>
          <w:lang w:val="en-US"/>
        </w:rPr>
        <w:t xml:space="preserve">, K., Peters, G., </w:t>
      </w:r>
      <w:proofErr w:type="spellStart"/>
      <w:r w:rsidRPr="000363A0">
        <w:rPr>
          <w:rFonts w:ascii="Aptos" w:hAnsi="Aptos"/>
          <w:lang w:val="en-US"/>
        </w:rPr>
        <w:t>Dahlbo</w:t>
      </w:r>
      <w:proofErr w:type="spellEnd"/>
      <w:r w:rsidRPr="000363A0">
        <w:rPr>
          <w:rFonts w:ascii="Aptos" w:hAnsi="Aptos"/>
          <w:lang w:val="en-US"/>
        </w:rPr>
        <w:t xml:space="preserve">, H., Perry, P., </w:t>
      </w:r>
      <w:proofErr w:type="spellStart"/>
      <w:r w:rsidRPr="000363A0">
        <w:rPr>
          <w:rFonts w:ascii="Aptos" w:hAnsi="Aptos"/>
          <w:lang w:val="en-US"/>
        </w:rPr>
        <w:t>Rissanen</w:t>
      </w:r>
      <w:proofErr w:type="spellEnd"/>
      <w:r w:rsidRPr="000363A0">
        <w:rPr>
          <w:rFonts w:ascii="Aptos" w:hAnsi="Aptos"/>
          <w:lang w:val="en-US"/>
        </w:rPr>
        <w:t xml:space="preserve">, T., &amp; </w:t>
      </w:r>
      <w:proofErr w:type="spellStart"/>
      <w:r w:rsidRPr="000363A0">
        <w:rPr>
          <w:rFonts w:ascii="Aptos" w:hAnsi="Aptos"/>
          <w:lang w:val="en-US"/>
        </w:rPr>
        <w:t>Gwilt</w:t>
      </w:r>
      <w:proofErr w:type="spellEnd"/>
      <w:r w:rsidRPr="000363A0">
        <w:rPr>
          <w:rFonts w:ascii="Aptos" w:hAnsi="Aptos"/>
          <w:lang w:val="en-US"/>
        </w:rPr>
        <w:t>, A. (2020). The environmental price of fast fashion. Nature Reviews Earth &amp; Environment, 1(4), 189-200.</w:t>
      </w:r>
    </w:p>
    <w:p w14:paraId="708905C9" w14:textId="77777777" w:rsidR="000363A0" w:rsidRPr="000363A0" w:rsidRDefault="000363A0" w:rsidP="000363A0">
      <w:pPr>
        <w:jc w:val="both"/>
        <w:rPr>
          <w:rFonts w:ascii="Aptos" w:hAnsi="Aptos"/>
          <w:lang w:val="en-US"/>
        </w:rPr>
      </w:pPr>
    </w:p>
    <w:p w14:paraId="53AFF3D1" w14:textId="77777777" w:rsidR="000363A0" w:rsidRPr="000363A0" w:rsidRDefault="000363A0" w:rsidP="000363A0">
      <w:pPr>
        <w:jc w:val="both"/>
        <w:rPr>
          <w:rFonts w:ascii="Aptos" w:hAnsi="Aptos"/>
          <w:lang w:val="en-US"/>
        </w:rPr>
      </w:pPr>
      <w:r w:rsidRPr="000363A0">
        <w:rPr>
          <w:rFonts w:ascii="Aptos" w:hAnsi="Aptos"/>
          <w:lang w:val="en-US"/>
        </w:rPr>
        <w:t>Ryan, M. (2014). The Future of Wearable Technology and Ethics. IEEE Technology and Society Magazine, 33(4), 29-36.</w:t>
      </w:r>
    </w:p>
    <w:p w14:paraId="20298640" w14:textId="77777777" w:rsidR="000363A0" w:rsidRPr="000363A0" w:rsidRDefault="000363A0" w:rsidP="000363A0">
      <w:pPr>
        <w:jc w:val="both"/>
        <w:rPr>
          <w:rFonts w:ascii="Aptos" w:hAnsi="Aptos"/>
          <w:lang w:val="en-US"/>
        </w:rPr>
      </w:pPr>
    </w:p>
    <w:p w14:paraId="740FF93F" w14:textId="77777777" w:rsidR="000363A0" w:rsidRPr="000363A0" w:rsidRDefault="000363A0" w:rsidP="000363A0">
      <w:pPr>
        <w:jc w:val="both"/>
        <w:rPr>
          <w:rFonts w:ascii="Aptos" w:hAnsi="Aptos"/>
          <w:lang w:val="en-US"/>
        </w:rPr>
      </w:pPr>
      <w:proofErr w:type="spellStart"/>
      <w:r w:rsidRPr="000363A0">
        <w:rPr>
          <w:rFonts w:ascii="Aptos" w:hAnsi="Aptos"/>
          <w:lang w:val="en-US"/>
        </w:rPr>
        <w:t>Stoppa</w:t>
      </w:r>
      <w:proofErr w:type="spellEnd"/>
      <w:r w:rsidRPr="000363A0">
        <w:rPr>
          <w:rFonts w:ascii="Aptos" w:hAnsi="Aptos"/>
          <w:lang w:val="en-US"/>
        </w:rPr>
        <w:t xml:space="preserve">, M., &amp; </w:t>
      </w:r>
      <w:proofErr w:type="spellStart"/>
      <w:r w:rsidRPr="000363A0">
        <w:rPr>
          <w:rFonts w:ascii="Aptos" w:hAnsi="Aptos"/>
          <w:lang w:val="en-US"/>
        </w:rPr>
        <w:t>Chiolerio</w:t>
      </w:r>
      <w:proofErr w:type="spellEnd"/>
      <w:r w:rsidRPr="000363A0">
        <w:rPr>
          <w:rFonts w:ascii="Aptos" w:hAnsi="Aptos"/>
          <w:lang w:val="en-US"/>
        </w:rPr>
        <w:t>, A. (2014). Wearable Electronics and Smart Textiles: A Critical Review. Sensors, 14(7), 11957-11992.</w:t>
      </w:r>
    </w:p>
    <w:p w14:paraId="23D9E857" w14:textId="77777777" w:rsidR="000363A0" w:rsidRPr="000363A0" w:rsidRDefault="000363A0" w:rsidP="000363A0">
      <w:pPr>
        <w:jc w:val="both"/>
        <w:rPr>
          <w:rFonts w:ascii="Aptos" w:hAnsi="Aptos"/>
          <w:lang w:val="en-US"/>
        </w:rPr>
      </w:pPr>
    </w:p>
    <w:p w14:paraId="79B30E38" w14:textId="77777777" w:rsidR="000363A0" w:rsidRPr="000363A0" w:rsidRDefault="000363A0" w:rsidP="000363A0">
      <w:pPr>
        <w:jc w:val="both"/>
        <w:rPr>
          <w:rFonts w:ascii="Aptos" w:hAnsi="Aptos"/>
        </w:rPr>
      </w:pPr>
      <w:r w:rsidRPr="000363A0">
        <w:rPr>
          <w:rFonts w:ascii="Aptos" w:hAnsi="Aptos"/>
          <w:lang w:val="en-US"/>
        </w:rPr>
        <w:t xml:space="preserve">Weber, R. H. (2015). Internet of Things – New security and privacy challenges. </w:t>
      </w:r>
      <w:r w:rsidRPr="000363A0">
        <w:rPr>
          <w:rFonts w:ascii="Aptos" w:hAnsi="Aptos"/>
        </w:rPr>
        <w:t>Computer Law &amp; Security Review, 26(1), 23-30.</w:t>
      </w:r>
    </w:p>
    <w:p w14:paraId="5B3DDE3C" w14:textId="77777777" w:rsidR="000363A0" w:rsidRPr="000363A0" w:rsidRDefault="000363A0" w:rsidP="000363A0">
      <w:pPr>
        <w:jc w:val="both"/>
        <w:rPr>
          <w:rFonts w:ascii="Aptos" w:hAnsi="Aptos" w:cs="Times New Roman"/>
        </w:rPr>
      </w:pPr>
    </w:p>
    <w:p w14:paraId="639EF98C" w14:textId="77777777" w:rsidR="000363A0" w:rsidRPr="000363A0" w:rsidRDefault="000363A0" w:rsidP="000363A0">
      <w:pPr>
        <w:jc w:val="both"/>
        <w:rPr>
          <w:rFonts w:ascii="Aptos" w:hAnsi="Aptos" w:cs="Times New Roman"/>
        </w:rPr>
      </w:pPr>
    </w:p>
    <w:p w14:paraId="5BD1C431" w14:textId="7A0B71FF" w:rsidR="000363A0" w:rsidRPr="000363A0" w:rsidRDefault="000363A0" w:rsidP="000363A0">
      <w:pPr>
        <w:jc w:val="both"/>
        <w:rPr>
          <w:rFonts w:ascii="Aptos" w:hAnsi="Aptos" w:cs="Times New Roman"/>
        </w:rPr>
      </w:pPr>
      <w:r w:rsidRPr="000363A0">
        <w:rPr>
          <w:rFonts w:ascii="Aptos" w:hAnsi="Aptos" w:cs="Times New Roman"/>
        </w:rPr>
        <w:br w:type="page"/>
      </w:r>
    </w:p>
    <w:p w14:paraId="24213DEC" w14:textId="77777777" w:rsidR="000363A0" w:rsidRPr="000363A0" w:rsidRDefault="000363A0" w:rsidP="000363A0">
      <w:pPr>
        <w:jc w:val="both"/>
        <w:rPr>
          <w:rFonts w:ascii="Aptos" w:hAnsi="Aptos" w:cs="Times New Roman"/>
        </w:rPr>
      </w:pPr>
    </w:p>
    <w:p w14:paraId="26F65EE6" w14:textId="77777777" w:rsidR="000363A0" w:rsidRPr="000363A0" w:rsidRDefault="000363A0" w:rsidP="000363A0">
      <w:pPr>
        <w:jc w:val="both"/>
        <w:rPr>
          <w:rFonts w:ascii="Aptos" w:hAnsi="Aptos" w:cs="Times New Roman"/>
        </w:rPr>
      </w:pPr>
    </w:p>
    <w:p w14:paraId="4B912DEE" w14:textId="465F6912" w:rsidR="000363A0" w:rsidRPr="000363A0" w:rsidRDefault="000363A0" w:rsidP="000363A0">
      <w:pPr>
        <w:pStyle w:val="ListParagraph"/>
        <w:numPr>
          <w:ilvl w:val="0"/>
          <w:numId w:val="1"/>
        </w:numPr>
        <w:jc w:val="both"/>
        <w:rPr>
          <w:rFonts w:ascii="Aptos" w:hAnsi="Aptos" w:cs="Times New Roman"/>
        </w:rPr>
      </w:pPr>
      <w:r w:rsidRPr="000363A0">
        <w:rPr>
          <w:rFonts w:ascii="Aptos" w:hAnsi="Aptos" w:cs="Times New Roman"/>
        </w:rPr>
        <w:t>Jia Wang</w:t>
      </w:r>
    </w:p>
    <w:p w14:paraId="49D786CD" w14:textId="77777777" w:rsidR="000363A0" w:rsidRPr="000363A0" w:rsidRDefault="000363A0" w:rsidP="000363A0">
      <w:pPr>
        <w:jc w:val="both"/>
        <w:rPr>
          <w:rFonts w:ascii="Aptos" w:hAnsi="Aptos" w:cs="Times New Roman"/>
        </w:rPr>
      </w:pPr>
    </w:p>
    <w:p w14:paraId="683D0010" w14:textId="77777777" w:rsidR="000363A0" w:rsidRPr="000363A0" w:rsidRDefault="000363A0" w:rsidP="000363A0">
      <w:pPr>
        <w:jc w:val="both"/>
        <w:rPr>
          <w:rFonts w:ascii="Aptos" w:hAnsi="Aptos" w:cs="Times New Roman"/>
        </w:rPr>
      </w:pPr>
      <w:r w:rsidRPr="000363A0">
        <w:rPr>
          <w:rFonts w:ascii="Aptos" w:hAnsi="Aptos" w:cs="Times New Roman"/>
        </w:rPr>
        <w:t>Reconceptualizing the interface of copyright and design rights for 3D printing</w:t>
      </w:r>
    </w:p>
    <w:p w14:paraId="0738547C" w14:textId="77777777" w:rsidR="000363A0" w:rsidRPr="000363A0" w:rsidRDefault="000363A0" w:rsidP="000363A0">
      <w:pPr>
        <w:jc w:val="both"/>
        <w:rPr>
          <w:rFonts w:ascii="Aptos" w:hAnsi="Aptos" w:cs="Times New Roman"/>
        </w:rPr>
      </w:pPr>
    </w:p>
    <w:p w14:paraId="170DD764" w14:textId="77777777" w:rsidR="000363A0" w:rsidRPr="000363A0" w:rsidRDefault="000363A0" w:rsidP="000363A0">
      <w:pPr>
        <w:jc w:val="both"/>
        <w:rPr>
          <w:rFonts w:ascii="Aptos" w:hAnsi="Aptos" w:cs="Times New Roman"/>
        </w:rPr>
      </w:pPr>
      <w:r w:rsidRPr="000363A0">
        <w:rPr>
          <w:rFonts w:ascii="Aptos" w:hAnsi="Aptos" w:cs="Times New Roman"/>
        </w:rPr>
        <w:t xml:space="preserve">Jia Wang </w:t>
      </w:r>
    </w:p>
    <w:p w14:paraId="090CCF9A" w14:textId="77777777" w:rsidR="000363A0" w:rsidRPr="000363A0" w:rsidRDefault="000363A0" w:rsidP="000363A0">
      <w:pPr>
        <w:jc w:val="both"/>
        <w:rPr>
          <w:rFonts w:ascii="Aptos" w:hAnsi="Aptos" w:cs="Times New Roman"/>
        </w:rPr>
      </w:pPr>
      <w:r w:rsidRPr="000363A0">
        <w:rPr>
          <w:rFonts w:ascii="Aptos" w:hAnsi="Aptos" w:cs="Times New Roman"/>
        </w:rPr>
        <w:t>Associate Professor in Intellectual Property Law</w:t>
      </w:r>
    </w:p>
    <w:p w14:paraId="4B850A3B" w14:textId="77777777" w:rsidR="000363A0" w:rsidRPr="000363A0" w:rsidRDefault="000363A0" w:rsidP="000363A0">
      <w:pPr>
        <w:jc w:val="both"/>
        <w:rPr>
          <w:rFonts w:ascii="Aptos" w:hAnsi="Aptos" w:cs="Times New Roman"/>
        </w:rPr>
      </w:pPr>
      <w:r w:rsidRPr="000363A0">
        <w:rPr>
          <w:rFonts w:ascii="Aptos" w:hAnsi="Aptos" w:cs="Times New Roman"/>
        </w:rPr>
        <w:t xml:space="preserve">Durham University </w:t>
      </w:r>
    </w:p>
    <w:p w14:paraId="49E6579E" w14:textId="77777777" w:rsidR="000363A0" w:rsidRPr="000363A0" w:rsidRDefault="000363A0" w:rsidP="000363A0">
      <w:pPr>
        <w:jc w:val="both"/>
        <w:rPr>
          <w:rFonts w:ascii="Aptos" w:hAnsi="Aptos" w:cs="Times New Roman"/>
        </w:rPr>
      </w:pPr>
    </w:p>
    <w:p w14:paraId="24BC2E9A" w14:textId="77777777" w:rsidR="000363A0" w:rsidRPr="000363A0" w:rsidRDefault="000363A0" w:rsidP="000363A0">
      <w:pPr>
        <w:jc w:val="both"/>
        <w:rPr>
          <w:rFonts w:ascii="Aptos" w:hAnsi="Aptos" w:cs="Times New Roman"/>
        </w:rPr>
      </w:pPr>
      <w:r w:rsidRPr="000363A0">
        <w:rPr>
          <w:rFonts w:ascii="Aptos" w:hAnsi="Aptos" w:cs="Times New Roman"/>
        </w:rPr>
        <w:t xml:space="preserve">Building the Internet of Things (IoT) requires data obtained from 3D scanning of objects from the real world and producing things from 3D designs to physical objects. 3D printing technologies and platforms are becoming more prominent, </w:t>
      </w:r>
      <w:proofErr w:type="gramStart"/>
      <w:r w:rsidRPr="000363A0">
        <w:rPr>
          <w:rFonts w:ascii="Aptos" w:hAnsi="Aptos" w:cs="Times New Roman"/>
        </w:rPr>
        <w:t>faster</w:t>
      </w:r>
      <w:proofErr w:type="gramEnd"/>
      <w:r w:rsidRPr="000363A0">
        <w:rPr>
          <w:rFonts w:ascii="Aptos" w:hAnsi="Aptos" w:cs="Times New Roman"/>
        </w:rPr>
        <w:t xml:space="preserve"> and more ubiquitous, and they have significantly challenged the modular intellectual property (IP) system. An unclear interface between different types of IP rights has led to the overprotection of design files. Moreover, despite the significant growth of designs in China, the current debate on cumulative design protection is more focused on UK and European law. This article investigates the current interface between copyright and design rights for 3D printing design files. To fill the gap in the literature, a comparative approach is taken to compare the laws between Europe, at the European Union and national levels, and China. This article views the road ahead for developing the IP legal system from three aspects: the identification of disclosure, the criteria to establish copyright originality and design novelty and the limitations and exceptions for using designs. In terms of practical significance, this article helps designers better understand the legal landscape when dealing with designs that are easily transmitted and traded across borders. It gives law and policymakers a more robust understanding of how IP rights operate in industrial contexts.</w:t>
      </w:r>
    </w:p>
    <w:p w14:paraId="1B3151A8" w14:textId="77777777" w:rsidR="000363A0" w:rsidRPr="000363A0" w:rsidRDefault="000363A0" w:rsidP="000363A0">
      <w:pPr>
        <w:jc w:val="both"/>
        <w:rPr>
          <w:rFonts w:ascii="Aptos" w:hAnsi="Aptos" w:cs="Times New Roman"/>
        </w:rPr>
      </w:pPr>
    </w:p>
    <w:p w14:paraId="4C5CDB38" w14:textId="77777777" w:rsidR="000363A0" w:rsidRPr="000363A0" w:rsidRDefault="000363A0" w:rsidP="000363A0">
      <w:pPr>
        <w:jc w:val="both"/>
        <w:rPr>
          <w:rFonts w:ascii="Aptos" w:hAnsi="Aptos" w:cs="Times New Roman"/>
        </w:rPr>
      </w:pPr>
    </w:p>
    <w:p w14:paraId="03AFB20E" w14:textId="2A514AFF" w:rsidR="000363A0" w:rsidRPr="000363A0" w:rsidRDefault="000363A0" w:rsidP="000363A0">
      <w:pPr>
        <w:jc w:val="both"/>
        <w:rPr>
          <w:rFonts w:ascii="Aptos" w:hAnsi="Aptos" w:cs="Times New Roman"/>
        </w:rPr>
      </w:pPr>
      <w:r w:rsidRPr="000363A0">
        <w:rPr>
          <w:rFonts w:ascii="Aptos" w:hAnsi="Aptos" w:cs="Times New Roman"/>
        </w:rPr>
        <w:br w:type="page"/>
      </w:r>
    </w:p>
    <w:p w14:paraId="0BB6DE53" w14:textId="77777777" w:rsidR="000363A0" w:rsidRPr="000363A0" w:rsidRDefault="000363A0" w:rsidP="000363A0">
      <w:pPr>
        <w:jc w:val="both"/>
        <w:rPr>
          <w:rFonts w:ascii="Aptos" w:hAnsi="Aptos" w:cs="Times New Roman"/>
        </w:rPr>
      </w:pPr>
    </w:p>
    <w:p w14:paraId="0D1B6D7C" w14:textId="77777777" w:rsidR="000363A0" w:rsidRPr="000363A0" w:rsidRDefault="000363A0" w:rsidP="000363A0">
      <w:pPr>
        <w:jc w:val="both"/>
        <w:rPr>
          <w:rFonts w:ascii="Aptos" w:hAnsi="Aptos" w:cs="Times New Roman"/>
        </w:rPr>
      </w:pPr>
    </w:p>
    <w:p w14:paraId="39F369D9" w14:textId="77777777" w:rsidR="00435835" w:rsidRPr="00435835" w:rsidRDefault="00435835" w:rsidP="00435835">
      <w:pPr>
        <w:jc w:val="both"/>
        <w:rPr>
          <w:rFonts w:ascii="Aptos" w:hAnsi="Aptos" w:cs="Times New Roman"/>
        </w:rPr>
      </w:pPr>
    </w:p>
    <w:sectPr w:rsidR="00435835" w:rsidRPr="004358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E00BAD" w14:textId="77777777" w:rsidR="007E7478" w:rsidRDefault="007E7478" w:rsidP="009051FF">
      <w:r>
        <w:separator/>
      </w:r>
    </w:p>
  </w:endnote>
  <w:endnote w:type="continuationSeparator" w:id="0">
    <w:p w14:paraId="6BF09F60" w14:textId="77777777" w:rsidR="007E7478" w:rsidRDefault="007E7478" w:rsidP="009051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Light">
    <w:altName w:val="Calibri"/>
    <w:panose1 w:val="020F0302020204030204"/>
    <w:charset w:val="00"/>
    <w:family w:val="swiss"/>
    <w:pitch w:val="variable"/>
    <w:sig w:usb0="E0002AFF" w:usb1="C000247B" w:usb2="00000009" w:usb3="00000000" w:csb0="000001FF" w:csb1="00000000"/>
  </w:font>
  <w:font w:name="Linux Biolinum O">
    <w:altName w:val="Times New Roman"/>
    <w:panose1 w:val="020B0604020202020204"/>
    <w:charset w:val="00"/>
    <w:family w:val="auto"/>
    <w:notTrueType/>
    <w:pitch w:val="variable"/>
    <w:sig w:usb0="00000000" w:usb1="5000E5FB" w:usb2="00000020" w:usb3="00000000" w:csb0="000001BF" w:csb1="00000000"/>
  </w:font>
  <w:font w:name="Linux Libertine O">
    <w:altName w:val="Times New Roman"/>
    <w:panose1 w:val="020B0604020202020204"/>
    <w:charset w:val="00"/>
    <w:family w:val="auto"/>
    <w:notTrueType/>
    <w:pitch w:val="variable"/>
    <w:sig w:usb0="00000000" w:usb1="5200E5FB" w:usb2="02000020" w:usb3="00000000" w:csb0="000001B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AppleSystemUIFont">
    <w:altName w:val="Calibri"/>
    <w:panose1 w:val="020B0604020202020204"/>
    <w:charset w:val="00"/>
    <w:family w:val="auto"/>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B8B137" w14:textId="77777777" w:rsidR="007E7478" w:rsidRDefault="007E7478" w:rsidP="009051FF">
      <w:r>
        <w:separator/>
      </w:r>
    </w:p>
  </w:footnote>
  <w:footnote w:type="continuationSeparator" w:id="0">
    <w:p w14:paraId="28256208" w14:textId="77777777" w:rsidR="007E7478" w:rsidRDefault="007E7478" w:rsidP="009051FF">
      <w:r>
        <w:continuationSeparator/>
      </w:r>
    </w:p>
  </w:footnote>
  <w:footnote w:id="1">
    <w:p w14:paraId="742748FA" w14:textId="77777777" w:rsidR="009051FF" w:rsidRPr="00B05005" w:rsidRDefault="009051FF" w:rsidP="009051FF">
      <w:pPr>
        <w:pStyle w:val="AuthNotes"/>
      </w:pPr>
      <w:r w:rsidRPr="00BE1AD5">
        <w:rPr>
          <w:rStyle w:val="FootnoteReference"/>
        </w:rPr>
        <w:footnoteRef/>
      </w:r>
      <w:r>
        <w:t xml:space="preserve"> </w:t>
      </w:r>
      <w:r w:rsidRPr="006D607D">
        <w:t>https://www.enterprisecarclub.co.uk/gb/en/home.html</w:t>
      </w:r>
    </w:p>
  </w:footnote>
  <w:footnote w:id="2">
    <w:p w14:paraId="2227A2B2" w14:textId="77777777" w:rsidR="009051FF" w:rsidRDefault="009051FF" w:rsidP="009051FF">
      <w:pPr>
        <w:pStyle w:val="AuthNotes"/>
      </w:pPr>
      <w:r>
        <w:rPr>
          <w:rStyle w:val="FootnoteReference"/>
        </w:rPr>
        <w:footnoteRef/>
      </w:r>
      <w:r>
        <w:t xml:space="preserve"> </w:t>
      </w:r>
      <w:proofErr w:type="spellStart"/>
      <w:r w:rsidRPr="0049624A">
        <w:t>LoTs</w:t>
      </w:r>
      <w:proofErr w:type="spellEnd"/>
      <w:r w:rsidRPr="0049624A">
        <w:t xml:space="preserve"> refer to “borrowable collections of tangible objects, which enable individuals to access items other than books from the library</w:t>
      </w:r>
      <w:r>
        <w:t xml:space="preserve"> </w:t>
      </w:r>
      <w:r>
        <w:fldChar w:fldCharType="begin"/>
      </w:r>
      <w:r>
        <w:instrText xml:space="preserve"> ADDIN ZOTERO_ITEM CSL_CITATION {"citationID":"8otPmEUy","properties":{"formattedCitation":"[6]","plainCitation":"[6]","noteIndex":2},"citationItems":[{"id":2131,"uris":["http://zotero.org/users/12411779/items/92J74B8N"],"itemData":{"id":2131,"type":"article-journal","container-title":"School of Information Student Research Journal","DOI":"10.31979/2575-2499.110104","ISSN":"2575-2499","issue":"1","title":"What’s Mine Is Yours: The History of U.S. Tool-Lending Libraries","title-short":"What’s Mine Is Yours","URL":"https://scholarworks.sjsu.edu/ischoolsrj/vol11/iss1/4","volume":"11","author":[{"family":"Hamilton","given":"Samantha"}],"issued":{"date-parts":[["2021",5,21]]}}}],"schema":"https://github.com/citation-style-language/schema/raw/master/csl-citation.json"} </w:instrText>
      </w:r>
      <w:r>
        <w:fldChar w:fldCharType="separate"/>
      </w:r>
      <w:r>
        <w:rPr>
          <w:noProof/>
        </w:rPr>
        <w:t>[6]</w:t>
      </w:r>
      <w:r>
        <w:fldChar w:fldCharType="end"/>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2D6CE5"/>
    <w:multiLevelType w:val="hybridMultilevel"/>
    <w:tmpl w:val="696E2D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35423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51FF"/>
    <w:rsid w:val="000249F1"/>
    <w:rsid w:val="000363A0"/>
    <w:rsid w:val="001351B9"/>
    <w:rsid w:val="00172800"/>
    <w:rsid w:val="001873B3"/>
    <w:rsid w:val="00254673"/>
    <w:rsid w:val="0031413F"/>
    <w:rsid w:val="0034041F"/>
    <w:rsid w:val="003575D5"/>
    <w:rsid w:val="00373CFC"/>
    <w:rsid w:val="00435835"/>
    <w:rsid w:val="004D0433"/>
    <w:rsid w:val="00571CC4"/>
    <w:rsid w:val="006C61A9"/>
    <w:rsid w:val="007065D2"/>
    <w:rsid w:val="00794AB1"/>
    <w:rsid w:val="007E2033"/>
    <w:rsid w:val="007E7478"/>
    <w:rsid w:val="009051FF"/>
    <w:rsid w:val="009B7DF9"/>
    <w:rsid w:val="00A307A4"/>
    <w:rsid w:val="00B5151D"/>
    <w:rsid w:val="00B6712C"/>
    <w:rsid w:val="00B8735E"/>
    <w:rsid w:val="00B91E3F"/>
    <w:rsid w:val="00DA4815"/>
    <w:rsid w:val="00DD72BB"/>
    <w:rsid w:val="00DE1B04"/>
    <w:rsid w:val="00E1415E"/>
    <w:rsid w:val="00EC2DAC"/>
    <w:rsid w:val="00EE2516"/>
    <w:rsid w:val="00FC64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6836884"/>
  <w15:chartTrackingRefBased/>
  <w15:docId w15:val="{230533D3-6073-F14B-9675-0C944D563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051F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051F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051F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051F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051F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051F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051F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051F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051F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51F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051F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051F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051F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051F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051F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051F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051F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051FF"/>
    <w:rPr>
      <w:rFonts w:eastAsiaTheme="majorEastAsia" w:cstheme="majorBidi"/>
      <w:color w:val="272727" w:themeColor="text1" w:themeTint="D8"/>
    </w:rPr>
  </w:style>
  <w:style w:type="paragraph" w:styleId="Title">
    <w:name w:val="Title"/>
    <w:basedOn w:val="Normal"/>
    <w:next w:val="Normal"/>
    <w:link w:val="TitleChar"/>
    <w:uiPriority w:val="10"/>
    <w:qFormat/>
    <w:rsid w:val="009051F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051F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051FF"/>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051F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051F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051FF"/>
    <w:rPr>
      <w:i/>
      <w:iCs/>
      <w:color w:val="404040" w:themeColor="text1" w:themeTint="BF"/>
    </w:rPr>
  </w:style>
  <w:style w:type="paragraph" w:styleId="ListParagraph">
    <w:name w:val="List Paragraph"/>
    <w:basedOn w:val="Normal"/>
    <w:uiPriority w:val="34"/>
    <w:qFormat/>
    <w:rsid w:val="009051FF"/>
    <w:pPr>
      <w:ind w:left="720"/>
      <w:contextualSpacing/>
    </w:pPr>
  </w:style>
  <w:style w:type="character" w:styleId="IntenseEmphasis">
    <w:name w:val="Intense Emphasis"/>
    <w:basedOn w:val="DefaultParagraphFont"/>
    <w:uiPriority w:val="21"/>
    <w:qFormat/>
    <w:rsid w:val="009051FF"/>
    <w:rPr>
      <w:i/>
      <w:iCs/>
      <w:color w:val="0F4761" w:themeColor="accent1" w:themeShade="BF"/>
    </w:rPr>
  </w:style>
  <w:style w:type="paragraph" w:styleId="IntenseQuote">
    <w:name w:val="Intense Quote"/>
    <w:basedOn w:val="Normal"/>
    <w:next w:val="Normal"/>
    <w:link w:val="IntenseQuoteChar"/>
    <w:uiPriority w:val="30"/>
    <w:qFormat/>
    <w:rsid w:val="009051F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051FF"/>
    <w:rPr>
      <w:i/>
      <w:iCs/>
      <w:color w:val="0F4761" w:themeColor="accent1" w:themeShade="BF"/>
    </w:rPr>
  </w:style>
  <w:style w:type="character" w:styleId="IntenseReference">
    <w:name w:val="Intense Reference"/>
    <w:basedOn w:val="DefaultParagraphFont"/>
    <w:uiPriority w:val="32"/>
    <w:qFormat/>
    <w:rsid w:val="009051FF"/>
    <w:rPr>
      <w:b/>
      <w:bCs/>
      <w:smallCaps/>
      <w:color w:val="0F4761" w:themeColor="accent1" w:themeShade="BF"/>
      <w:spacing w:val="5"/>
    </w:rPr>
  </w:style>
  <w:style w:type="paragraph" w:customStyle="1" w:styleId="Default">
    <w:name w:val="Default"/>
    <w:rsid w:val="009051FF"/>
    <w:pPr>
      <w:autoSpaceDE w:val="0"/>
      <w:autoSpaceDN w:val="0"/>
      <w:adjustRightInd w:val="0"/>
    </w:pPr>
    <w:rPr>
      <w:rFonts w:ascii="Calibri Light" w:hAnsi="Calibri Light" w:cs="Calibri Light"/>
      <w:color w:val="000000"/>
    </w:rPr>
  </w:style>
  <w:style w:type="paragraph" w:styleId="Bibliography">
    <w:name w:val="Bibliography"/>
    <w:basedOn w:val="Normal"/>
    <w:next w:val="Normal"/>
    <w:uiPriority w:val="37"/>
    <w:semiHidden/>
    <w:unhideWhenUsed/>
    <w:rsid w:val="009051FF"/>
    <w:pPr>
      <w:spacing w:after="160" w:line="259" w:lineRule="auto"/>
    </w:pPr>
    <w:rPr>
      <w:sz w:val="22"/>
      <w:szCs w:val="22"/>
      <w:lang w:val="en-US"/>
    </w:rPr>
  </w:style>
  <w:style w:type="paragraph" w:customStyle="1" w:styleId="Titledocument">
    <w:name w:val="Title_document"/>
    <w:link w:val="TitledocumentChar"/>
    <w:rsid w:val="009051FF"/>
    <w:pPr>
      <w:spacing w:line="360" w:lineRule="atLeast"/>
    </w:pPr>
    <w:rPr>
      <w:rFonts w:ascii="Linux Biolinum O" w:eastAsia="Times New Roman" w:hAnsi="Linux Biolinum O" w:cs="Linux Biolinum O"/>
      <w:b/>
      <w:bCs/>
      <w:szCs w:val="20"/>
      <w:lang w:val="en-US"/>
    </w:rPr>
  </w:style>
  <w:style w:type="character" w:customStyle="1" w:styleId="TitledocumentChar">
    <w:name w:val="Title_document Char"/>
    <w:basedOn w:val="DefaultParagraphFont"/>
    <w:link w:val="Titledocument"/>
    <w:rsid w:val="009051FF"/>
    <w:rPr>
      <w:rFonts w:ascii="Linux Biolinum O" w:eastAsia="Times New Roman" w:hAnsi="Linux Biolinum O" w:cs="Linux Biolinum O"/>
      <w:b/>
      <w:bCs/>
      <w:szCs w:val="20"/>
      <w:lang w:val="en-US"/>
    </w:rPr>
  </w:style>
  <w:style w:type="paragraph" w:customStyle="1" w:styleId="AuthNotes">
    <w:name w:val="AuthNotes"/>
    <w:rsid w:val="009051FF"/>
    <w:pPr>
      <w:spacing w:line="140" w:lineRule="atLeast"/>
      <w:jc w:val="both"/>
    </w:pPr>
    <w:rPr>
      <w:rFonts w:ascii="Linux Libertine O" w:eastAsia="Cambria" w:hAnsi="Linux Libertine O" w:cs="Linux Libertine O"/>
      <w:sz w:val="14"/>
      <w:szCs w:val="22"/>
      <w:lang w:val="en-US"/>
    </w:rPr>
  </w:style>
  <w:style w:type="character" w:customStyle="1" w:styleId="AuthorsChar">
    <w:name w:val="Authors Char"/>
    <w:link w:val="Authors"/>
    <w:locked/>
    <w:rsid w:val="009051FF"/>
    <w:rPr>
      <w:rFonts w:ascii="Linux Biolinum O" w:eastAsia="Cambria" w:hAnsi="Linux Biolinum O" w:cs="Linux Biolinum O"/>
      <w:caps/>
      <w:lang w:eastAsia="ja-JP"/>
    </w:rPr>
  </w:style>
  <w:style w:type="paragraph" w:customStyle="1" w:styleId="Authors">
    <w:name w:val="Authors"/>
    <w:link w:val="AuthorsChar"/>
    <w:rsid w:val="009051FF"/>
    <w:pPr>
      <w:spacing w:before="60" w:line="320" w:lineRule="atLeast"/>
    </w:pPr>
    <w:rPr>
      <w:rFonts w:ascii="Linux Biolinum O" w:eastAsia="Cambria" w:hAnsi="Linux Biolinum O" w:cs="Linux Biolinum O"/>
      <w:caps/>
      <w:lang w:eastAsia="ja-JP"/>
    </w:rPr>
  </w:style>
  <w:style w:type="character" w:customStyle="1" w:styleId="ParaContinueChar">
    <w:name w:val="ParaContinue Char"/>
    <w:link w:val="ParaContinue"/>
    <w:locked/>
    <w:rsid w:val="009051FF"/>
    <w:rPr>
      <w:rFonts w:ascii="Linux Libertine O" w:hAnsi="Linux Libertine O" w:cs="Linux Libertine O"/>
      <w:sz w:val="18"/>
      <w:lang w:eastAsia="ja-JP"/>
    </w:rPr>
  </w:style>
  <w:style w:type="paragraph" w:customStyle="1" w:styleId="ParaContinue">
    <w:name w:val="ParaContinue"/>
    <w:basedOn w:val="Normal"/>
    <w:link w:val="ParaContinueChar"/>
    <w:rsid w:val="009051FF"/>
    <w:pPr>
      <w:spacing w:line="270" w:lineRule="atLeast"/>
      <w:ind w:firstLine="240"/>
      <w:jc w:val="both"/>
    </w:pPr>
    <w:rPr>
      <w:rFonts w:ascii="Linux Libertine O" w:hAnsi="Linux Libertine O" w:cs="Linux Libertine O"/>
      <w:sz w:val="18"/>
      <w:lang w:eastAsia="ja-JP"/>
    </w:rPr>
  </w:style>
  <w:style w:type="character" w:styleId="FootnoteReference">
    <w:name w:val="footnote reference"/>
    <w:basedOn w:val="DefaultParagraphFont"/>
    <w:uiPriority w:val="99"/>
    <w:semiHidden/>
    <w:unhideWhenUsed/>
    <w:rsid w:val="009051FF"/>
    <w:rPr>
      <w:vertAlign w:val="superscript"/>
    </w:rPr>
  </w:style>
  <w:style w:type="character" w:styleId="CommentReference">
    <w:name w:val="annotation reference"/>
    <w:basedOn w:val="DefaultParagraphFont"/>
    <w:uiPriority w:val="99"/>
    <w:semiHidden/>
    <w:unhideWhenUsed/>
    <w:rsid w:val="009051FF"/>
    <w:rPr>
      <w:sz w:val="16"/>
      <w:szCs w:val="16"/>
    </w:rPr>
  </w:style>
  <w:style w:type="character" w:customStyle="1" w:styleId="apple-converted-space">
    <w:name w:val="apple-converted-space"/>
    <w:basedOn w:val="DefaultParagraphFont"/>
    <w:rsid w:val="000363A0"/>
  </w:style>
  <w:style w:type="paragraph" w:styleId="NormalWeb">
    <w:name w:val="Normal (Web)"/>
    <w:basedOn w:val="Normal"/>
    <w:uiPriority w:val="99"/>
    <w:semiHidden/>
    <w:unhideWhenUsed/>
    <w:rsid w:val="000363A0"/>
    <w:pPr>
      <w:spacing w:before="100" w:beforeAutospacing="1" w:after="100" w:afterAutospacing="1"/>
    </w:pPr>
    <w:rPr>
      <w:rFonts w:ascii="Times New Roman" w:eastAsia="Times New Roman" w:hAnsi="Times New Roman" w:cs="Times New Roman"/>
      <w:lang w:eastAsia="en-GB"/>
    </w:rPr>
  </w:style>
  <w:style w:type="character" w:customStyle="1" w:styleId="outlook-search-highlight">
    <w:name w:val="outlook-search-highlight"/>
    <w:basedOn w:val="DefaultParagraphFont"/>
    <w:rsid w:val="000363A0"/>
  </w:style>
  <w:style w:type="paragraph" w:styleId="HTMLPreformatted">
    <w:name w:val="HTML Preformatted"/>
    <w:basedOn w:val="Normal"/>
    <w:link w:val="HTMLPreformattedChar"/>
    <w:uiPriority w:val="99"/>
    <w:unhideWhenUsed/>
    <w:rsid w:val="000363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0363A0"/>
    <w:rPr>
      <w:rFonts w:ascii="Courier New" w:eastAsia="Times New Roman" w:hAnsi="Courier New" w:cs="Courier New"/>
      <w:sz w:val="20"/>
      <w:szCs w:val="20"/>
      <w:lang w:eastAsia="en-GB"/>
    </w:rPr>
  </w:style>
  <w:style w:type="character" w:styleId="Hyperlink">
    <w:name w:val="Hyperlink"/>
    <w:basedOn w:val="DefaultParagraphFont"/>
    <w:uiPriority w:val="99"/>
    <w:unhideWhenUsed/>
    <w:rsid w:val="000363A0"/>
    <w:rPr>
      <w:color w:val="0000FF"/>
      <w:u w:val="single"/>
    </w:rPr>
  </w:style>
  <w:style w:type="character" w:styleId="UnresolvedMention">
    <w:name w:val="Unresolved Mention"/>
    <w:basedOn w:val="DefaultParagraphFont"/>
    <w:uiPriority w:val="99"/>
    <w:semiHidden/>
    <w:unhideWhenUsed/>
    <w:rsid w:val="000363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4726773">
      <w:bodyDiv w:val="1"/>
      <w:marLeft w:val="0"/>
      <w:marRight w:val="0"/>
      <w:marTop w:val="0"/>
      <w:marBottom w:val="0"/>
      <w:divBdr>
        <w:top w:val="none" w:sz="0" w:space="0" w:color="auto"/>
        <w:left w:val="none" w:sz="0" w:space="0" w:color="auto"/>
        <w:bottom w:val="none" w:sz="0" w:space="0" w:color="auto"/>
        <w:right w:val="none" w:sz="0" w:space="0" w:color="auto"/>
      </w:divBdr>
    </w:div>
    <w:div w:id="1261182518">
      <w:bodyDiv w:val="1"/>
      <w:marLeft w:val="0"/>
      <w:marRight w:val="0"/>
      <w:marTop w:val="0"/>
      <w:marBottom w:val="0"/>
      <w:divBdr>
        <w:top w:val="none" w:sz="0" w:space="0" w:color="auto"/>
        <w:left w:val="none" w:sz="0" w:space="0" w:color="auto"/>
        <w:bottom w:val="none" w:sz="0" w:space="0" w:color="auto"/>
        <w:right w:val="none" w:sz="0" w:space="0" w:color="auto"/>
      </w:divBdr>
    </w:div>
    <w:div w:id="1312903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7913</Words>
  <Characters>42575</Characters>
  <Application>Microsoft Office Word</Application>
  <DocSecurity>0</DocSecurity>
  <Lines>626</Lines>
  <Paragraphs>145</Paragraphs>
  <ScaleCrop>false</ScaleCrop>
  <Company/>
  <LinksUpToDate>false</LinksUpToDate>
  <CharactersWithSpaces>50343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Lachlan Urquhart</dc:creator>
  <cp:keywords/>
  <dc:description/>
  <cp:lastModifiedBy>Lachlan Urquhart</cp:lastModifiedBy>
  <cp:revision>3</cp:revision>
  <dcterms:created xsi:type="dcterms:W3CDTF">2024-06-25T09:59:00Z</dcterms:created>
  <dcterms:modified xsi:type="dcterms:W3CDTF">2024-06-25T10:00:00Z</dcterms:modified>
</cp:coreProperties>
</file>