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B697F" w14:textId="77777777" w:rsidR="00DC2CAF" w:rsidRPr="00D67092" w:rsidRDefault="00DC2CAF" w:rsidP="00FC232E">
      <w:pPr>
        <w:widowControl w:val="0"/>
        <w:autoSpaceDE w:val="0"/>
        <w:autoSpaceDN w:val="0"/>
        <w:adjustRightInd w:val="0"/>
        <w:jc w:val="center"/>
        <w:rPr>
          <w:rStyle w:val="Emphasis"/>
          <w:rFonts w:asciiTheme="minorHAnsi" w:eastAsiaTheme="minorEastAsia" w:hAnsiTheme="minorHAnsi"/>
          <w:i w:val="0"/>
          <w:sz w:val="28"/>
          <w:szCs w:val="28"/>
          <w:lang w:val="en-US" w:eastAsia="en-US"/>
        </w:rPr>
      </w:pPr>
      <w:r w:rsidRPr="00D67092">
        <w:rPr>
          <w:rStyle w:val="Emphasis"/>
          <w:rFonts w:asciiTheme="minorHAnsi" w:hAnsiTheme="minorHAnsi"/>
          <w:b/>
          <w:i w:val="0"/>
          <w:sz w:val="28"/>
          <w:szCs w:val="28"/>
        </w:rPr>
        <w:t>Translating Cultures in the Hispanic World</w:t>
      </w:r>
    </w:p>
    <w:p w14:paraId="7CFD1E6A" w14:textId="77777777" w:rsidR="00FC232E" w:rsidRPr="00D67092" w:rsidRDefault="00FC232E" w:rsidP="00FC232E">
      <w:pPr>
        <w:widowControl w:val="0"/>
        <w:autoSpaceDE w:val="0"/>
        <w:autoSpaceDN w:val="0"/>
        <w:adjustRightInd w:val="0"/>
        <w:jc w:val="center"/>
        <w:rPr>
          <w:rStyle w:val="Emphasis"/>
          <w:rFonts w:asciiTheme="minorHAnsi" w:hAnsiTheme="minorHAnsi"/>
          <w:i w:val="0"/>
          <w:sz w:val="28"/>
          <w:szCs w:val="28"/>
        </w:rPr>
      </w:pPr>
    </w:p>
    <w:p w14:paraId="25922BA4" w14:textId="77777777" w:rsidR="00FC232E" w:rsidRPr="00D67092" w:rsidRDefault="00DC2CAF" w:rsidP="00FC232E">
      <w:pPr>
        <w:widowControl w:val="0"/>
        <w:autoSpaceDE w:val="0"/>
        <w:autoSpaceDN w:val="0"/>
        <w:adjustRightInd w:val="0"/>
        <w:jc w:val="center"/>
        <w:rPr>
          <w:rStyle w:val="Emphasis"/>
          <w:rFonts w:asciiTheme="minorHAnsi" w:hAnsiTheme="minorHAnsi"/>
        </w:rPr>
      </w:pPr>
      <w:r w:rsidRPr="00D67092">
        <w:rPr>
          <w:rStyle w:val="Emphasis"/>
          <w:rFonts w:asciiTheme="minorHAnsi" w:hAnsiTheme="minorHAnsi"/>
          <w:i w:val="0"/>
        </w:rPr>
        <w:t>A conference hosted by</w:t>
      </w:r>
      <w:bookmarkStart w:id="0" w:name="_GoBack"/>
      <w:bookmarkEnd w:id="0"/>
      <w:r w:rsidRPr="00D67092">
        <w:rPr>
          <w:rStyle w:val="Emphasis"/>
          <w:rFonts w:asciiTheme="minorHAnsi" w:hAnsiTheme="minorHAnsi"/>
        </w:rPr>
        <w:t xml:space="preserve"> Art in Translation</w:t>
      </w:r>
    </w:p>
    <w:p w14:paraId="23B2AD3E" w14:textId="6699912D" w:rsidR="00FC232E" w:rsidRPr="00D67092" w:rsidRDefault="00DC2CAF" w:rsidP="00FC232E">
      <w:pPr>
        <w:widowControl w:val="0"/>
        <w:autoSpaceDE w:val="0"/>
        <w:autoSpaceDN w:val="0"/>
        <w:adjustRightInd w:val="0"/>
        <w:jc w:val="center"/>
        <w:rPr>
          <w:rStyle w:val="Emphasis"/>
          <w:rFonts w:asciiTheme="minorHAnsi" w:hAnsiTheme="minorHAnsi"/>
          <w:i w:val="0"/>
        </w:rPr>
      </w:pPr>
      <w:r w:rsidRPr="00D67092">
        <w:rPr>
          <w:rStyle w:val="Emphasis"/>
          <w:rFonts w:asciiTheme="minorHAnsi" w:hAnsiTheme="minorHAnsi"/>
          <w:i w:val="0"/>
        </w:rPr>
        <w:t>University of Edinburgh</w:t>
      </w:r>
    </w:p>
    <w:p w14:paraId="4ACFDA3B" w14:textId="318F47DD" w:rsidR="00FC232E" w:rsidRPr="00D67092" w:rsidRDefault="00FC232E" w:rsidP="00FC232E">
      <w:pPr>
        <w:widowControl w:val="0"/>
        <w:autoSpaceDE w:val="0"/>
        <w:autoSpaceDN w:val="0"/>
        <w:adjustRightInd w:val="0"/>
        <w:jc w:val="center"/>
        <w:rPr>
          <w:rStyle w:val="Emphasis"/>
          <w:rFonts w:asciiTheme="minorHAnsi" w:hAnsiTheme="minorHAnsi"/>
          <w:i w:val="0"/>
        </w:rPr>
      </w:pPr>
      <w:r w:rsidRPr="00D67092">
        <w:rPr>
          <w:rStyle w:val="Emphasis"/>
          <w:rFonts w:asciiTheme="minorHAnsi" w:hAnsiTheme="minorHAnsi"/>
          <w:i w:val="0"/>
        </w:rPr>
        <w:t xml:space="preserve">Teviot Row House, 13 </w:t>
      </w:r>
      <w:proofErr w:type="spellStart"/>
      <w:r w:rsidRPr="00D67092">
        <w:rPr>
          <w:rStyle w:val="Emphasis"/>
          <w:rFonts w:asciiTheme="minorHAnsi" w:hAnsiTheme="minorHAnsi"/>
          <w:i w:val="0"/>
        </w:rPr>
        <w:t>Bristo</w:t>
      </w:r>
      <w:proofErr w:type="spellEnd"/>
      <w:r w:rsidRPr="00D67092">
        <w:rPr>
          <w:rStyle w:val="Emphasis"/>
          <w:rFonts w:asciiTheme="minorHAnsi" w:hAnsiTheme="minorHAnsi"/>
          <w:i w:val="0"/>
        </w:rPr>
        <w:t xml:space="preserve"> Square, Edinburgh</w:t>
      </w:r>
    </w:p>
    <w:p w14:paraId="2C634BEF" w14:textId="77777777" w:rsidR="00FC232E" w:rsidRPr="00D67092" w:rsidRDefault="00FC232E" w:rsidP="00FC232E">
      <w:pPr>
        <w:widowControl w:val="0"/>
        <w:autoSpaceDE w:val="0"/>
        <w:autoSpaceDN w:val="0"/>
        <w:adjustRightInd w:val="0"/>
        <w:jc w:val="center"/>
        <w:rPr>
          <w:rStyle w:val="Emphasis"/>
          <w:rFonts w:asciiTheme="minorHAnsi" w:hAnsiTheme="minorHAnsi"/>
          <w:i w:val="0"/>
        </w:rPr>
      </w:pPr>
    </w:p>
    <w:p w14:paraId="596AE315" w14:textId="02F25421" w:rsidR="00DC2CAF" w:rsidRPr="00D67092" w:rsidRDefault="00DC2CAF" w:rsidP="00FC232E">
      <w:pPr>
        <w:widowControl w:val="0"/>
        <w:autoSpaceDE w:val="0"/>
        <w:autoSpaceDN w:val="0"/>
        <w:adjustRightInd w:val="0"/>
        <w:jc w:val="center"/>
        <w:rPr>
          <w:rStyle w:val="Emphasis"/>
          <w:rFonts w:asciiTheme="minorHAnsi" w:hAnsiTheme="minorHAnsi"/>
        </w:rPr>
      </w:pPr>
      <w:r w:rsidRPr="00D67092">
        <w:rPr>
          <w:rStyle w:val="Emphasis"/>
          <w:rFonts w:asciiTheme="minorHAnsi" w:hAnsiTheme="minorHAnsi"/>
          <w:i w:val="0"/>
        </w:rPr>
        <w:t>7-8 November 2013</w:t>
      </w:r>
    </w:p>
    <w:p w14:paraId="74969470" w14:textId="77777777" w:rsidR="00DC2CAF" w:rsidRPr="00D67092" w:rsidRDefault="00DC2CAF" w:rsidP="00FC232E">
      <w:pPr>
        <w:widowControl w:val="0"/>
        <w:autoSpaceDE w:val="0"/>
        <w:autoSpaceDN w:val="0"/>
        <w:adjustRightInd w:val="0"/>
        <w:jc w:val="center"/>
        <w:rPr>
          <w:rStyle w:val="Emphasis"/>
          <w:rFonts w:asciiTheme="minorHAnsi" w:hAnsiTheme="minorHAnsi"/>
        </w:rPr>
      </w:pPr>
    </w:p>
    <w:p w14:paraId="4FC98E8A" w14:textId="1584D381" w:rsidR="00DC2CAF" w:rsidRPr="00D67092" w:rsidRDefault="00DC2CAF" w:rsidP="00FC232E">
      <w:pPr>
        <w:widowControl w:val="0"/>
        <w:autoSpaceDE w:val="0"/>
        <w:autoSpaceDN w:val="0"/>
        <w:adjustRightInd w:val="0"/>
        <w:jc w:val="center"/>
        <w:rPr>
          <w:rStyle w:val="Emphasis"/>
          <w:rFonts w:asciiTheme="minorHAnsi" w:hAnsiTheme="minorHAnsi"/>
          <w:b/>
          <w:i w:val="0"/>
          <w:sz w:val="28"/>
          <w:szCs w:val="28"/>
        </w:rPr>
      </w:pPr>
      <w:r w:rsidRPr="00D67092">
        <w:rPr>
          <w:rStyle w:val="Emphasis"/>
          <w:rFonts w:asciiTheme="minorHAnsi" w:hAnsiTheme="minorHAnsi"/>
          <w:b/>
          <w:i w:val="0"/>
          <w:sz w:val="28"/>
          <w:szCs w:val="28"/>
        </w:rPr>
        <w:t>Abstracts</w:t>
      </w:r>
    </w:p>
    <w:p w14:paraId="4C8F6BBB" w14:textId="77777777" w:rsidR="00FC232E" w:rsidRPr="00D67092" w:rsidRDefault="00FC232E" w:rsidP="00FC232E">
      <w:pPr>
        <w:widowControl w:val="0"/>
        <w:autoSpaceDE w:val="0"/>
        <w:autoSpaceDN w:val="0"/>
        <w:adjustRightInd w:val="0"/>
        <w:rPr>
          <w:rFonts w:asciiTheme="minorHAnsi" w:eastAsiaTheme="minorHAnsi" w:hAnsiTheme="minorHAnsi"/>
          <w:sz w:val="28"/>
          <w:szCs w:val="28"/>
          <w:lang w:val="en-US" w:eastAsia="en-US"/>
        </w:rPr>
      </w:pPr>
    </w:p>
    <w:tbl>
      <w:tblPr>
        <w:tblStyle w:val="TableGrid"/>
        <w:tblW w:w="0" w:type="auto"/>
        <w:tblLook w:val="04A0" w:firstRow="1" w:lastRow="0" w:firstColumn="1" w:lastColumn="0" w:noHBand="0" w:noVBand="1"/>
      </w:tblPr>
      <w:tblGrid>
        <w:gridCol w:w="8516"/>
      </w:tblGrid>
      <w:tr w:rsidR="00FC232E" w:rsidRPr="00D67092" w14:paraId="5FCB4BAD" w14:textId="77777777" w:rsidTr="00FC232E">
        <w:tc>
          <w:tcPr>
            <w:tcW w:w="8516" w:type="dxa"/>
            <w:tcBorders>
              <w:top w:val="single" w:sz="4" w:space="0" w:color="FF0000"/>
              <w:left w:val="single" w:sz="4" w:space="0" w:color="FF0000"/>
              <w:bottom w:val="single" w:sz="4" w:space="0" w:color="FF0000"/>
              <w:right w:val="single" w:sz="4" w:space="0" w:color="FF0000"/>
            </w:tcBorders>
            <w:shd w:val="clear" w:color="auto" w:fill="FF0000"/>
          </w:tcPr>
          <w:p w14:paraId="3524CCA3" w14:textId="23EC9330" w:rsidR="00FC232E" w:rsidRPr="00D67092" w:rsidRDefault="00FC232E" w:rsidP="00FC232E">
            <w:pPr>
              <w:jc w:val="center"/>
              <w:rPr>
                <w:rFonts w:asciiTheme="minorHAnsi" w:hAnsiTheme="minorHAnsi"/>
                <w:i/>
                <w:color w:val="FFFFFF" w:themeColor="background1"/>
              </w:rPr>
            </w:pPr>
            <w:r w:rsidRPr="00D67092">
              <w:rPr>
                <w:rStyle w:val="Emphasis"/>
                <w:rFonts w:asciiTheme="minorHAnsi" w:hAnsiTheme="minorHAnsi"/>
                <w:b/>
                <w:color w:val="FFFFFF" w:themeColor="background1"/>
                <w:highlight w:val="red"/>
              </w:rPr>
              <w:t xml:space="preserve">Session 1: </w:t>
            </w:r>
            <w:r w:rsidRPr="00D67092">
              <w:rPr>
                <w:rStyle w:val="Emphasis"/>
                <w:rFonts w:asciiTheme="minorHAnsi" w:hAnsiTheme="minorHAnsi"/>
                <w:b/>
                <w:color w:val="FFFFFF" w:themeColor="background1"/>
              </w:rPr>
              <w:t>Visual Culture and Translation in Medieval Spain</w:t>
            </w:r>
          </w:p>
        </w:tc>
      </w:tr>
    </w:tbl>
    <w:p w14:paraId="11DB47B1" w14:textId="77777777" w:rsidR="00524BCB" w:rsidRPr="00D67092" w:rsidRDefault="00524BCB" w:rsidP="00524BCB">
      <w:pPr>
        <w:widowControl w:val="0"/>
        <w:autoSpaceDE w:val="0"/>
        <w:autoSpaceDN w:val="0"/>
        <w:adjustRightInd w:val="0"/>
        <w:rPr>
          <w:rFonts w:asciiTheme="minorHAnsi" w:eastAsiaTheme="minorHAnsi" w:hAnsiTheme="minorHAnsi"/>
          <w:lang w:val="en-US" w:eastAsia="en-US"/>
        </w:rPr>
      </w:pPr>
    </w:p>
    <w:p w14:paraId="579B1B7A" w14:textId="77777777" w:rsidR="00524BCB" w:rsidRPr="00D67092" w:rsidRDefault="00524BCB" w:rsidP="00524BCB">
      <w:pPr>
        <w:widowControl w:val="0"/>
        <w:autoSpaceDE w:val="0"/>
        <w:autoSpaceDN w:val="0"/>
        <w:adjustRightInd w:val="0"/>
        <w:rPr>
          <w:rFonts w:asciiTheme="minorHAnsi" w:eastAsiaTheme="minorHAnsi" w:hAnsiTheme="minorHAnsi"/>
          <w:b/>
          <w:lang w:val="en-US" w:eastAsia="en-US"/>
        </w:rPr>
      </w:pPr>
      <w:r w:rsidRPr="00D67092">
        <w:rPr>
          <w:rFonts w:asciiTheme="minorHAnsi" w:eastAsiaTheme="minorHAnsi" w:hAnsiTheme="minorHAnsi"/>
          <w:b/>
          <w:lang w:val="en-US" w:eastAsia="en-US"/>
        </w:rPr>
        <w:t>Lost and Found in Translation: Visual Interpretation in Medieval Astrological Iconography</w:t>
      </w:r>
    </w:p>
    <w:p w14:paraId="315EDB57" w14:textId="63703C32" w:rsidR="00524BCB" w:rsidRPr="00D67092" w:rsidRDefault="00524BCB" w:rsidP="00524BCB">
      <w:pPr>
        <w:widowControl w:val="0"/>
        <w:autoSpaceDE w:val="0"/>
        <w:autoSpaceDN w:val="0"/>
        <w:adjustRightInd w:val="0"/>
        <w:rPr>
          <w:rFonts w:asciiTheme="minorHAnsi" w:hAnsiTheme="minorHAnsi"/>
          <w:i/>
        </w:rPr>
      </w:pPr>
      <w:r w:rsidRPr="00D67092">
        <w:rPr>
          <w:rFonts w:asciiTheme="minorHAnsi" w:hAnsiTheme="minorHAnsi"/>
          <w:i/>
        </w:rPr>
        <w:t xml:space="preserve">Alejandro </w:t>
      </w:r>
      <w:proofErr w:type="spellStart"/>
      <w:r w:rsidRPr="00D67092">
        <w:rPr>
          <w:rFonts w:asciiTheme="minorHAnsi" w:hAnsiTheme="minorHAnsi"/>
          <w:i/>
        </w:rPr>
        <w:t>García</w:t>
      </w:r>
      <w:proofErr w:type="spellEnd"/>
      <w:r w:rsidRPr="00D67092">
        <w:rPr>
          <w:rFonts w:asciiTheme="minorHAnsi" w:hAnsiTheme="minorHAnsi"/>
          <w:i/>
        </w:rPr>
        <w:t xml:space="preserve"> Aviles, Universidad de Murcia, Spain</w:t>
      </w:r>
    </w:p>
    <w:p w14:paraId="119AF1ED" w14:textId="75C423B4" w:rsidR="00524BCB" w:rsidRPr="00D67092" w:rsidRDefault="00524BCB" w:rsidP="00524BCB">
      <w:pPr>
        <w:widowControl w:val="0"/>
        <w:autoSpaceDE w:val="0"/>
        <w:autoSpaceDN w:val="0"/>
        <w:adjustRightInd w:val="0"/>
        <w:rPr>
          <w:rFonts w:asciiTheme="minorHAnsi" w:eastAsiaTheme="minorHAnsi" w:hAnsiTheme="minorHAnsi"/>
          <w:lang w:val="en-US" w:eastAsia="en-US"/>
        </w:rPr>
      </w:pPr>
      <w:r w:rsidRPr="00D67092">
        <w:rPr>
          <w:rFonts w:asciiTheme="minorHAnsi" w:eastAsiaTheme="minorHAnsi" w:hAnsiTheme="minorHAnsi"/>
          <w:lang w:val="en-US" w:eastAsia="en-US"/>
        </w:rPr>
        <w:t xml:space="preserve">Astrological images are typical historiographical witnesses of how classical iconography changed during the Middle Ages. While scholars since </w:t>
      </w:r>
      <w:proofErr w:type="spellStart"/>
      <w:r w:rsidRPr="00D67092">
        <w:rPr>
          <w:rFonts w:asciiTheme="minorHAnsi" w:eastAsiaTheme="minorHAnsi" w:hAnsiTheme="minorHAnsi"/>
          <w:lang w:val="en-US" w:eastAsia="en-US"/>
        </w:rPr>
        <w:t>Aby</w:t>
      </w:r>
      <w:proofErr w:type="spellEnd"/>
      <w:r w:rsidRPr="00D67092">
        <w:rPr>
          <w:rFonts w:asciiTheme="minorHAnsi" w:eastAsiaTheme="minorHAnsi" w:hAnsiTheme="minorHAnsi"/>
          <w:lang w:val="en-US" w:eastAsia="en-US"/>
        </w:rPr>
        <w:t xml:space="preserve"> Warburg have traditionally focused </w:t>
      </w:r>
      <w:r w:rsidR="00240FA9" w:rsidRPr="00D67092">
        <w:rPr>
          <w:rFonts w:asciiTheme="minorHAnsi" w:eastAsiaTheme="minorHAnsi" w:hAnsiTheme="minorHAnsi"/>
          <w:lang w:val="en-US" w:eastAsia="en-US"/>
        </w:rPr>
        <w:t>on</w:t>
      </w:r>
      <w:r w:rsidRPr="00D67092">
        <w:rPr>
          <w:rFonts w:asciiTheme="minorHAnsi" w:eastAsiaTheme="minorHAnsi" w:hAnsiTheme="minorHAnsi"/>
          <w:lang w:val="en-US" w:eastAsia="en-US"/>
        </w:rPr>
        <w:t xml:space="preserve"> the continuities with the classical tradition, it is obvious that there are a number of examples in medieval astrological iconography </w:t>
      </w:r>
      <w:r w:rsidR="00240FA9" w:rsidRPr="00D67092">
        <w:rPr>
          <w:rFonts w:asciiTheme="minorHAnsi" w:eastAsiaTheme="minorHAnsi" w:hAnsiTheme="minorHAnsi"/>
          <w:lang w:val="en-US" w:eastAsia="en-US"/>
        </w:rPr>
        <w:t xml:space="preserve">in which </w:t>
      </w:r>
      <w:r w:rsidRPr="00D67092">
        <w:rPr>
          <w:rFonts w:asciiTheme="minorHAnsi" w:eastAsiaTheme="minorHAnsi" w:hAnsiTheme="minorHAnsi"/>
          <w:lang w:val="en-US" w:eastAsia="en-US"/>
        </w:rPr>
        <w:t xml:space="preserve">textual and visual mistakes are the source of iconographic creation. This talk will focus </w:t>
      </w:r>
      <w:r w:rsidR="00240FA9" w:rsidRPr="00D67092">
        <w:rPr>
          <w:rFonts w:asciiTheme="minorHAnsi" w:eastAsiaTheme="minorHAnsi" w:hAnsiTheme="minorHAnsi"/>
          <w:lang w:val="en-US" w:eastAsia="en-US"/>
        </w:rPr>
        <w:t xml:space="preserve">on </w:t>
      </w:r>
      <w:r w:rsidRPr="00D67092">
        <w:rPr>
          <w:rFonts w:asciiTheme="minorHAnsi" w:eastAsiaTheme="minorHAnsi" w:hAnsiTheme="minorHAnsi"/>
          <w:lang w:val="en-US" w:eastAsia="en-US"/>
        </w:rPr>
        <w:t>medieval interpretation</w:t>
      </w:r>
      <w:r w:rsidR="00240FA9" w:rsidRPr="00D67092">
        <w:rPr>
          <w:rFonts w:asciiTheme="minorHAnsi" w:eastAsiaTheme="minorHAnsi" w:hAnsiTheme="minorHAnsi"/>
          <w:lang w:val="en-US" w:eastAsia="en-US"/>
        </w:rPr>
        <w:t>s</w:t>
      </w:r>
      <w:r w:rsidRPr="00D67092">
        <w:rPr>
          <w:rFonts w:asciiTheme="minorHAnsi" w:eastAsiaTheme="minorHAnsi" w:hAnsiTheme="minorHAnsi"/>
          <w:lang w:val="en-US" w:eastAsia="en-US"/>
        </w:rPr>
        <w:t xml:space="preserve"> of ancient astrological iconography, </w:t>
      </w:r>
      <w:r w:rsidR="00240FA9" w:rsidRPr="00D67092">
        <w:rPr>
          <w:rFonts w:asciiTheme="minorHAnsi" w:eastAsiaTheme="minorHAnsi" w:hAnsiTheme="minorHAnsi"/>
          <w:lang w:val="en-US" w:eastAsia="en-US"/>
        </w:rPr>
        <w:t xml:space="preserve">with reference to </w:t>
      </w:r>
      <w:r w:rsidRPr="00D67092">
        <w:rPr>
          <w:rFonts w:asciiTheme="minorHAnsi" w:eastAsiaTheme="minorHAnsi" w:hAnsiTheme="minorHAnsi"/>
          <w:lang w:val="en-US" w:eastAsia="en-US"/>
        </w:rPr>
        <w:t xml:space="preserve">some Spanish </w:t>
      </w:r>
      <w:r w:rsidR="00240FA9" w:rsidRPr="00D67092">
        <w:rPr>
          <w:rFonts w:asciiTheme="minorHAnsi" w:eastAsiaTheme="minorHAnsi" w:hAnsiTheme="minorHAnsi"/>
          <w:lang w:val="en-US" w:eastAsia="en-US"/>
        </w:rPr>
        <w:t>examples</w:t>
      </w:r>
      <w:r w:rsidRPr="00D67092">
        <w:rPr>
          <w:rFonts w:asciiTheme="minorHAnsi" w:eastAsiaTheme="minorHAnsi" w:hAnsiTheme="minorHAnsi"/>
          <w:lang w:val="en-US" w:eastAsia="en-US"/>
        </w:rPr>
        <w:t xml:space="preserve">, and </w:t>
      </w:r>
      <w:r w:rsidR="00240FA9" w:rsidRPr="00D67092">
        <w:rPr>
          <w:rFonts w:asciiTheme="minorHAnsi" w:eastAsiaTheme="minorHAnsi" w:hAnsiTheme="minorHAnsi"/>
          <w:lang w:val="en-US" w:eastAsia="en-US"/>
        </w:rPr>
        <w:t>taking</w:t>
      </w:r>
      <w:r w:rsidRPr="00D67092">
        <w:rPr>
          <w:rFonts w:asciiTheme="minorHAnsi" w:eastAsiaTheme="minorHAnsi" w:hAnsiTheme="minorHAnsi"/>
          <w:lang w:val="en-US" w:eastAsia="en-US"/>
        </w:rPr>
        <w:t xml:space="preserve"> the iconography of the planets as </w:t>
      </w:r>
      <w:proofErr w:type="gramStart"/>
      <w:r w:rsidRPr="00D67092">
        <w:rPr>
          <w:rFonts w:asciiTheme="minorHAnsi" w:eastAsiaTheme="minorHAnsi" w:hAnsiTheme="minorHAnsi"/>
          <w:lang w:val="en-US" w:eastAsia="en-US"/>
        </w:rPr>
        <w:t>case-studies</w:t>
      </w:r>
      <w:proofErr w:type="gramEnd"/>
      <w:r w:rsidRPr="00D67092">
        <w:rPr>
          <w:rFonts w:asciiTheme="minorHAnsi" w:eastAsiaTheme="minorHAnsi" w:hAnsiTheme="minorHAnsi"/>
          <w:lang w:val="en-US" w:eastAsia="en-US"/>
        </w:rPr>
        <w:t>.</w:t>
      </w:r>
    </w:p>
    <w:p w14:paraId="003FD549" w14:textId="77777777" w:rsidR="00524BCB" w:rsidRPr="00D67092" w:rsidRDefault="00524BCB" w:rsidP="00524BCB">
      <w:pPr>
        <w:widowControl w:val="0"/>
        <w:autoSpaceDE w:val="0"/>
        <w:autoSpaceDN w:val="0"/>
        <w:adjustRightInd w:val="0"/>
        <w:rPr>
          <w:rFonts w:asciiTheme="minorHAnsi" w:eastAsiaTheme="minorHAnsi" w:hAnsiTheme="minorHAnsi"/>
          <w:lang w:val="en-US" w:eastAsia="en-US"/>
        </w:rPr>
      </w:pPr>
    </w:p>
    <w:p w14:paraId="17DE7293" w14:textId="0F586BCC" w:rsidR="004F39BD" w:rsidRPr="00D67092" w:rsidRDefault="00D67092" w:rsidP="004F39BD">
      <w:pPr>
        <w:rPr>
          <w:rFonts w:asciiTheme="minorHAnsi" w:hAnsiTheme="minorHAnsi"/>
          <w:b/>
        </w:rPr>
      </w:pPr>
      <w:r w:rsidRPr="00D67092">
        <w:rPr>
          <w:rFonts w:asciiTheme="minorHAnsi" w:hAnsiTheme="minorHAnsi"/>
          <w:b/>
        </w:rPr>
        <w:t>Islamic O</w:t>
      </w:r>
      <w:r w:rsidR="004F39BD" w:rsidRPr="00D67092">
        <w:rPr>
          <w:rFonts w:asciiTheme="minorHAnsi" w:hAnsiTheme="minorHAnsi"/>
          <w:b/>
        </w:rPr>
        <w:t xml:space="preserve">bjects in Christian </w:t>
      </w:r>
      <w:r w:rsidR="00CE6AA1" w:rsidRPr="00D67092">
        <w:rPr>
          <w:rFonts w:asciiTheme="minorHAnsi" w:hAnsiTheme="minorHAnsi"/>
          <w:b/>
        </w:rPr>
        <w:t>Contexts: G</w:t>
      </w:r>
      <w:r w:rsidR="004F39BD" w:rsidRPr="00D67092">
        <w:rPr>
          <w:rFonts w:asciiTheme="minorHAnsi" w:hAnsiTheme="minorHAnsi"/>
          <w:b/>
        </w:rPr>
        <w:t xml:space="preserve">ift </w:t>
      </w:r>
      <w:r w:rsidR="00CE6AA1" w:rsidRPr="00D67092">
        <w:rPr>
          <w:rFonts w:asciiTheme="minorHAnsi" w:hAnsiTheme="minorHAnsi"/>
          <w:b/>
        </w:rPr>
        <w:t>E</w:t>
      </w:r>
      <w:r w:rsidR="004F39BD" w:rsidRPr="00D67092">
        <w:rPr>
          <w:rFonts w:asciiTheme="minorHAnsi" w:hAnsiTheme="minorHAnsi"/>
          <w:b/>
        </w:rPr>
        <w:t xml:space="preserve">xchange and </w:t>
      </w:r>
      <w:r w:rsidR="00CE6AA1" w:rsidRPr="00D67092">
        <w:rPr>
          <w:rFonts w:asciiTheme="minorHAnsi" w:hAnsiTheme="minorHAnsi"/>
          <w:b/>
        </w:rPr>
        <w:t>R</w:t>
      </w:r>
      <w:r w:rsidR="004F39BD" w:rsidRPr="00D67092">
        <w:rPr>
          <w:rFonts w:asciiTheme="minorHAnsi" w:hAnsiTheme="minorHAnsi"/>
          <w:b/>
        </w:rPr>
        <w:t xml:space="preserve">elic </w:t>
      </w:r>
      <w:r w:rsidR="00CE6AA1" w:rsidRPr="00D67092">
        <w:rPr>
          <w:rFonts w:asciiTheme="minorHAnsi" w:hAnsiTheme="minorHAnsi"/>
          <w:b/>
        </w:rPr>
        <w:t>T</w:t>
      </w:r>
      <w:r w:rsidR="004F39BD" w:rsidRPr="00D67092">
        <w:rPr>
          <w:rFonts w:asciiTheme="minorHAnsi" w:hAnsiTheme="minorHAnsi"/>
          <w:b/>
        </w:rPr>
        <w:t>ranslation</w:t>
      </w:r>
    </w:p>
    <w:p w14:paraId="4BDE349D" w14:textId="76885C88" w:rsidR="004F39BD" w:rsidRPr="00D67092" w:rsidRDefault="004F39BD" w:rsidP="004F39BD">
      <w:pPr>
        <w:rPr>
          <w:rFonts w:asciiTheme="minorHAnsi" w:hAnsiTheme="minorHAnsi"/>
          <w:i/>
        </w:rPr>
      </w:pPr>
      <w:r w:rsidRPr="00D67092">
        <w:rPr>
          <w:rFonts w:asciiTheme="minorHAnsi" w:hAnsiTheme="minorHAnsi"/>
          <w:i/>
        </w:rPr>
        <w:t>Mariam Rosser-Owen, Victoria and Albert Museum, London</w:t>
      </w:r>
      <w:r w:rsidR="00524BCB" w:rsidRPr="00D67092">
        <w:rPr>
          <w:rFonts w:asciiTheme="minorHAnsi" w:hAnsiTheme="minorHAnsi"/>
          <w:i/>
        </w:rPr>
        <w:t>, UK</w:t>
      </w:r>
    </w:p>
    <w:p w14:paraId="44B834CC" w14:textId="77777777" w:rsidR="00524BCB" w:rsidRPr="00D67092" w:rsidRDefault="00524BCB" w:rsidP="00524BCB">
      <w:pPr>
        <w:rPr>
          <w:rFonts w:asciiTheme="minorHAnsi" w:hAnsiTheme="minorHAnsi"/>
        </w:rPr>
      </w:pPr>
      <w:r w:rsidRPr="00D67092">
        <w:rPr>
          <w:rFonts w:asciiTheme="minorHAnsi" w:hAnsiTheme="minorHAnsi"/>
        </w:rPr>
        <w:t>Among the many reliquaries housed in the church treasuries of northern Iberia are a large number of caskets made in the Islamic world. These mainly come from al-</w:t>
      </w:r>
      <w:proofErr w:type="spellStart"/>
      <w:r w:rsidRPr="00D67092">
        <w:rPr>
          <w:rFonts w:asciiTheme="minorHAnsi" w:hAnsiTheme="minorHAnsi"/>
        </w:rPr>
        <w:t>Andalus</w:t>
      </w:r>
      <w:proofErr w:type="spellEnd"/>
      <w:r w:rsidRPr="00D67092">
        <w:rPr>
          <w:rFonts w:asciiTheme="minorHAnsi" w:hAnsiTheme="minorHAnsi"/>
        </w:rPr>
        <w:t>, the territory of the Iberian Peninsula under Muslim rule during the medieval period, while others may be imports from Egypt or further afield. These containers were created as secular objects, to store perfumes, jewellery or other luxury goods, and usually bear Arabic inscriptions in honour or praise of their original Muslim owners. This paper will address the apparently contradictory phenomenon of Muslim secular objects re-used to house the relics of Christian saints. Many of these saints were martyrs who were buried in territory under Muslim rule, and this paper will also examine the instances of relic translation from Islamic to Christian Iberia as one probable means by which these precious containers were themselves translated from south to north of the Peninsula.</w:t>
      </w:r>
    </w:p>
    <w:p w14:paraId="471B7B93" w14:textId="77777777" w:rsidR="00C21DA8" w:rsidRPr="00D67092" w:rsidRDefault="00C21DA8" w:rsidP="00C21DA8">
      <w:pPr>
        <w:widowControl w:val="0"/>
        <w:autoSpaceDE w:val="0"/>
        <w:autoSpaceDN w:val="0"/>
        <w:adjustRightInd w:val="0"/>
        <w:rPr>
          <w:rFonts w:asciiTheme="minorHAnsi" w:eastAsiaTheme="minorHAnsi" w:hAnsiTheme="minorHAnsi"/>
          <w:b/>
          <w:bCs/>
          <w:lang w:val="en-US" w:eastAsia="en-US"/>
        </w:rPr>
      </w:pPr>
    </w:p>
    <w:p w14:paraId="04608694" w14:textId="181012A9" w:rsidR="00C21DA8" w:rsidRPr="00D67092" w:rsidRDefault="00CE6AA1" w:rsidP="00C21DA8">
      <w:pPr>
        <w:widowControl w:val="0"/>
        <w:autoSpaceDE w:val="0"/>
        <w:autoSpaceDN w:val="0"/>
        <w:adjustRightInd w:val="0"/>
        <w:rPr>
          <w:rFonts w:asciiTheme="minorHAnsi" w:eastAsiaTheme="minorHAnsi" w:hAnsiTheme="minorHAnsi"/>
          <w:b/>
          <w:bCs/>
          <w:lang w:val="en-US" w:eastAsia="en-US"/>
        </w:rPr>
      </w:pPr>
      <w:r w:rsidRPr="00D67092">
        <w:rPr>
          <w:rFonts w:asciiTheme="minorHAnsi" w:eastAsiaTheme="minorHAnsi" w:hAnsiTheme="minorHAnsi"/>
          <w:b/>
          <w:bCs/>
          <w:lang w:val="en-US" w:eastAsia="en-US"/>
        </w:rPr>
        <w:t>Texts and T</w:t>
      </w:r>
      <w:r w:rsidR="00C21DA8" w:rsidRPr="00D67092">
        <w:rPr>
          <w:rFonts w:asciiTheme="minorHAnsi" w:eastAsiaTheme="minorHAnsi" w:hAnsiTheme="minorHAnsi"/>
          <w:b/>
          <w:bCs/>
          <w:lang w:val="en-US" w:eastAsia="en-US"/>
        </w:rPr>
        <w:t xml:space="preserve">alismans in </w:t>
      </w:r>
      <w:r w:rsidRPr="00D67092">
        <w:rPr>
          <w:rFonts w:asciiTheme="minorHAnsi" w:eastAsiaTheme="minorHAnsi" w:hAnsiTheme="minorHAnsi"/>
          <w:b/>
          <w:bCs/>
          <w:lang w:val="en-US" w:eastAsia="en-US"/>
        </w:rPr>
        <w:t>M</w:t>
      </w:r>
      <w:r w:rsidR="00C21DA8" w:rsidRPr="00D67092">
        <w:rPr>
          <w:rFonts w:asciiTheme="minorHAnsi" w:eastAsiaTheme="minorHAnsi" w:hAnsiTheme="minorHAnsi"/>
          <w:b/>
          <w:bCs/>
          <w:lang w:val="en-US" w:eastAsia="en-US"/>
        </w:rPr>
        <w:t>edieval Castile</w:t>
      </w:r>
    </w:p>
    <w:p w14:paraId="06179CE2" w14:textId="4784DB03" w:rsidR="00C21DA8" w:rsidRPr="00D67092" w:rsidRDefault="00C21DA8" w:rsidP="00C21DA8">
      <w:pPr>
        <w:rPr>
          <w:rFonts w:asciiTheme="minorHAnsi" w:eastAsiaTheme="minorHAnsi" w:hAnsiTheme="minorHAnsi"/>
          <w:i/>
          <w:lang w:val="en-US" w:eastAsia="en-US"/>
        </w:rPr>
      </w:pPr>
      <w:r w:rsidRPr="00D67092">
        <w:rPr>
          <w:rFonts w:asciiTheme="minorHAnsi" w:eastAsiaTheme="minorHAnsi" w:hAnsiTheme="minorHAnsi"/>
          <w:i/>
          <w:lang w:val="en-US" w:eastAsia="en-US"/>
        </w:rPr>
        <w:t xml:space="preserve">Tom </w:t>
      </w:r>
      <w:proofErr w:type="spellStart"/>
      <w:r w:rsidRPr="00D67092">
        <w:rPr>
          <w:rFonts w:asciiTheme="minorHAnsi" w:eastAsiaTheme="minorHAnsi" w:hAnsiTheme="minorHAnsi"/>
          <w:i/>
          <w:lang w:val="en-US" w:eastAsia="en-US"/>
        </w:rPr>
        <w:t>Nickson</w:t>
      </w:r>
      <w:proofErr w:type="spellEnd"/>
      <w:r w:rsidRPr="00D67092">
        <w:rPr>
          <w:rFonts w:asciiTheme="minorHAnsi" w:eastAsiaTheme="minorHAnsi" w:hAnsiTheme="minorHAnsi"/>
          <w:i/>
          <w:lang w:val="en-US" w:eastAsia="en-US"/>
        </w:rPr>
        <w:t xml:space="preserve">, </w:t>
      </w:r>
      <w:proofErr w:type="spellStart"/>
      <w:r w:rsidRPr="00D67092">
        <w:rPr>
          <w:rFonts w:asciiTheme="minorHAnsi" w:eastAsiaTheme="minorHAnsi" w:hAnsiTheme="minorHAnsi"/>
          <w:i/>
          <w:lang w:val="en-US" w:eastAsia="en-US"/>
        </w:rPr>
        <w:t>Courtauld</w:t>
      </w:r>
      <w:proofErr w:type="spellEnd"/>
      <w:r w:rsidRPr="00D67092">
        <w:rPr>
          <w:rFonts w:asciiTheme="minorHAnsi" w:eastAsiaTheme="minorHAnsi" w:hAnsiTheme="minorHAnsi"/>
          <w:i/>
          <w:lang w:val="en-US" w:eastAsia="en-US"/>
        </w:rPr>
        <w:t xml:space="preserve"> Institute of Art, London</w:t>
      </w:r>
      <w:r w:rsidR="00524BCB" w:rsidRPr="00D67092">
        <w:rPr>
          <w:rFonts w:asciiTheme="minorHAnsi" w:eastAsiaTheme="minorHAnsi" w:hAnsiTheme="minorHAnsi"/>
          <w:i/>
          <w:lang w:val="en-US" w:eastAsia="en-US"/>
        </w:rPr>
        <w:t>, UK</w:t>
      </w:r>
    </w:p>
    <w:p w14:paraId="52EA37A8" w14:textId="77777777" w:rsidR="00C21DA8" w:rsidRPr="00D67092" w:rsidRDefault="00C21DA8" w:rsidP="00C21DA8">
      <w:pPr>
        <w:rPr>
          <w:rFonts w:asciiTheme="minorHAnsi" w:hAnsiTheme="minorHAnsi"/>
          <w:b/>
        </w:rPr>
      </w:pPr>
      <w:r w:rsidRPr="00D67092">
        <w:rPr>
          <w:rFonts w:asciiTheme="minorHAnsi" w:eastAsiaTheme="minorHAnsi" w:hAnsiTheme="minorHAnsi"/>
          <w:lang w:val="en-US" w:eastAsia="en-US"/>
        </w:rPr>
        <w:t>This paper focuses on the Victoria and Albert Museum’s so-called ‘</w:t>
      </w:r>
      <w:proofErr w:type="spellStart"/>
      <w:r w:rsidRPr="00D67092">
        <w:rPr>
          <w:rFonts w:asciiTheme="minorHAnsi" w:eastAsiaTheme="minorHAnsi" w:hAnsiTheme="minorHAnsi"/>
          <w:lang w:val="en-US" w:eastAsia="en-US"/>
        </w:rPr>
        <w:t>Botica</w:t>
      </w:r>
      <w:proofErr w:type="spellEnd"/>
      <w:r w:rsidRPr="00D67092">
        <w:rPr>
          <w:rFonts w:asciiTheme="minorHAnsi" w:eastAsiaTheme="minorHAnsi" w:hAnsiTheme="minorHAnsi"/>
          <w:lang w:val="en-US" w:eastAsia="en-US"/>
        </w:rPr>
        <w:t xml:space="preserve"> de los </w:t>
      </w:r>
      <w:proofErr w:type="spellStart"/>
      <w:r w:rsidRPr="00D67092">
        <w:rPr>
          <w:rFonts w:asciiTheme="minorHAnsi" w:eastAsiaTheme="minorHAnsi" w:hAnsiTheme="minorHAnsi"/>
          <w:lang w:val="en-US" w:eastAsia="en-US"/>
        </w:rPr>
        <w:t>Templarios</w:t>
      </w:r>
      <w:proofErr w:type="spellEnd"/>
      <w:r w:rsidRPr="00D67092">
        <w:rPr>
          <w:rFonts w:asciiTheme="minorHAnsi" w:eastAsiaTheme="minorHAnsi" w:hAnsiTheme="minorHAnsi"/>
          <w:lang w:val="en-US" w:eastAsia="en-US"/>
        </w:rPr>
        <w:t xml:space="preserve">’, a fourteenth-century ‘cupboard’ from Toledo with Arabic, Latin and Castilian inscriptions. I </w:t>
      </w:r>
      <w:proofErr w:type="gramStart"/>
      <w:r w:rsidRPr="00D67092">
        <w:rPr>
          <w:rFonts w:asciiTheme="minorHAnsi" w:eastAsiaTheme="minorHAnsi" w:hAnsiTheme="minorHAnsi"/>
          <w:lang w:val="en-US" w:eastAsia="en-US"/>
        </w:rPr>
        <w:t>first  explore</w:t>
      </w:r>
      <w:proofErr w:type="gramEnd"/>
      <w:r w:rsidRPr="00D67092">
        <w:rPr>
          <w:rFonts w:asciiTheme="minorHAnsi" w:eastAsiaTheme="minorHAnsi" w:hAnsiTheme="minorHAnsi"/>
          <w:lang w:val="en-US" w:eastAsia="en-US"/>
        </w:rPr>
        <w:t xml:space="preserve"> the significance of the juxtaposition of different languages, the meaning of the inscriptions, and their parallels with talismans and other ‘magical’ texts. I then consider how these and other </w:t>
      </w:r>
      <w:r w:rsidRPr="00D67092">
        <w:rPr>
          <w:rFonts w:asciiTheme="minorHAnsi" w:eastAsiaTheme="minorHAnsi" w:hAnsiTheme="minorHAnsi"/>
          <w:lang w:val="en-US" w:eastAsia="en-US"/>
        </w:rPr>
        <w:lastRenderedPageBreak/>
        <w:t xml:space="preserve">inscriptions were studied by scholars in the nineteenth century, and how the </w:t>
      </w:r>
      <w:proofErr w:type="gramStart"/>
      <w:r w:rsidRPr="00D67092">
        <w:rPr>
          <w:rFonts w:asciiTheme="minorHAnsi" w:eastAsiaTheme="minorHAnsi" w:hAnsiTheme="minorHAnsi"/>
          <w:lang w:val="en-US" w:eastAsia="en-US"/>
        </w:rPr>
        <w:t>internet</w:t>
      </w:r>
      <w:proofErr w:type="gramEnd"/>
      <w:r w:rsidRPr="00D67092">
        <w:rPr>
          <w:rFonts w:asciiTheme="minorHAnsi" w:eastAsiaTheme="minorHAnsi" w:hAnsiTheme="minorHAnsi"/>
          <w:lang w:val="en-US" w:eastAsia="en-US"/>
        </w:rPr>
        <w:t xml:space="preserve"> has transformed their study in our own time.</w:t>
      </w:r>
    </w:p>
    <w:p w14:paraId="7E6612A7" w14:textId="77777777" w:rsidR="00C21DA8" w:rsidRPr="00D67092" w:rsidRDefault="00C21DA8" w:rsidP="00355922">
      <w:pPr>
        <w:rPr>
          <w:rFonts w:asciiTheme="minorHAnsi" w:hAnsiTheme="minorHAnsi"/>
        </w:rPr>
      </w:pPr>
    </w:p>
    <w:p w14:paraId="2CE67CB7" w14:textId="77777777" w:rsidR="000B791E" w:rsidRPr="00D67092" w:rsidRDefault="000B791E" w:rsidP="000B791E">
      <w:pPr>
        <w:rPr>
          <w:rFonts w:asciiTheme="minorHAnsi" w:hAnsiTheme="minorHAnsi"/>
          <w:b/>
        </w:rPr>
      </w:pPr>
      <w:r w:rsidRPr="00D67092">
        <w:rPr>
          <w:rFonts w:asciiTheme="minorHAnsi" w:hAnsiTheme="minorHAnsi"/>
          <w:b/>
        </w:rPr>
        <w:t xml:space="preserve">Translating Cartography: The </w:t>
      </w:r>
      <w:proofErr w:type="spellStart"/>
      <w:r w:rsidRPr="00D67092">
        <w:rPr>
          <w:rFonts w:asciiTheme="minorHAnsi" w:hAnsiTheme="minorHAnsi"/>
          <w:b/>
          <w:i/>
        </w:rPr>
        <w:t>Mappaemundi</w:t>
      </w:r>
      <w:proofErr w:type="spellEnd"/>
      <w:r w:rsidRPr="00D67092">
        <w:rPr>
          <w:rFonts w:asciiTheme="minorHAnsi" w:hAnsiTheme="minorHAnsi"/>
          <w:b/>
          <w:i/>
        </w:rPr>
        <w:t xml:space="preserve"> </w:t>
      </w:r>
      <w:r w:rsidRPr="00D67092">
        <w:rPr>
          <w:rFonts w:asciiTheme="minorHAnsi" w:hAnsiTheme="minorHAnsi"/>
          <w:b/>
        </w:rPr>
        <w:t xml:space="preserve">of the </w:t>
      </w:r>
      <w:proofErr w:type="spellStart"/>
      <w:r w:rsidRPr="00D67092">
        <w:rPr>
          <w:rFonts w:asciiTheme="minorHAnsi" w:hAnsiTheme="minorHAnsi"/>
          <w:b/>
        </w:rPr>
        <w:t>Beatus</w:t>
      </w:r>
      <w:proofErr w:type="spellEnd"/>
      <w:r w:rsidRPr="00D67092">
        <w:rPr>
          <w:rFonts w:asciiTheme="minorHAnsi" w:hAnsiTheme="minorHAnsi"/>
          <w:b/>
        </w:rPr>
        <w:t xml:space="preserve"> Commentary on the Apocalypse</w:t>
      </w:r>
    </w:p>
    <w:p w14:paraId="214B4FA0" w14:textId="08943EEC" w:rsidR="00765E68" w:rsidRPr="00D67092" w:rsidRDefault="00C21DA8" w:rsidP="00355922">
      <w:pPr>
        <w:rPr>
          <w:rFonts w:asciiTheme="minorHAnsi" w:hAnsiTheme="minorHAnsi"/>
          <w:b/>
          <w:i/>
        </w:rPr>
      </w:pPr>
      <w:r w:rsidRPr="00D67092">
        <w:rPr>
          <w:rFonts w:asciiTheme="minorHAnsi" w:hAnsiTheme="minorHAnsi"/>
          <w:i/>
        </w:rPr>
        <w:t xml:space="preserve">Emily </w:t>
      </w:r>
      <w:proofErr w:type="spellStart"/>
      <w:r w:rsidRPr="00D67092">
        <w:rPr>
          <w:rFonts w:asciiTheme="minorHAnsi" w:hAnsiTheme="minorHAnsi"/>
          <w:i/>
        </w:rPr>
        <w:t>Goetsch</w:t>
      </w:r>
      <w:proofErr w:type="spellEnd"/>
      <w:r w:rsidRPr="00D67092">
        <w:rPr>
          <w:rFonts w:asciiTheme="minorHAnsi" w:hAnsiTheme="minorHAnsi"/>
          <w:i/>
        </w:rPr>
        <w:t>, University of Edinburgh</w:t>
      </w:r>
      <w:r w:rsidR="00524BCB" w:rsidRPr="00D67092">
        <w:rPr>
          <w:rFonts w:asciiTheme="minorHAnsi" w:hAnsiTheme="minorHAnsi"/>
          <w:i/>
        </w:rPr>
        <w:t>, UK</w:t>
      </w:r>
    </w:p>
    <w:p w14:paraId="613A6A1D" w14:textId="77777777" w:rsidR="000B791E" w:rsidRPr="00D67092" w:rsidRDefault="000B791E" w:rsidP="000B791E">
      <w:pPr>
        <w:rPr>
          <w:rFonts w:asciiTheme="minorHAnsi" w:hAnsiTheme="minorHAnsi"/>
        </w:rPr>
      </w:pPr>
      <w:r w:rsidRPr="00D67092">
        <w:rPr>
          <w:rFonts w:asciiTheme="minorHAnsi" w:hAnsiTheme="minorHAnsi"/>
        </w:rPr>
        <w:t xml:space="preserve">This paper will examine the unusual inclusion of the </w:t>
      </w:r>
      <w:proofErr w:type="spellStart"/>
      <w:r w:rsidRPr="00D67092">
        <w:rPr>
          <w:rFonts w:asciiTheme="minorHAnsi" w:hAnsiTheme="minorHAnsi"/>
          <w:i/>
        </w:rPr>
        <w:t>mappaemundi</w:t>
      </w:r>
      <w:proofErr w:type="spellEnd"/>
      <w:r w:rsidRPr="00D67092">
        <w:rPr>
          <w:rFonts w:asciiTheme="minorHAnsi" w:hAnsiTheme="minorHAnsi"/>
          <w:i/>
        </w:rPr>
        <w:t xml:space="preserve"> </w:t>
      </w:r>
      <w:r w:rsidRPr="00D67092">
        <w:rPr>
          <w:rFonts w:asciiTheme="minorHAnsi" w:hAnsiTheme="minorHAnsi"/>
        </w:rPr>
        <w:t xml:space="preserve">within the primarily apocalyptic programme of the </w:t>
      </w:r>
      <w:proofErr w:type="spellStart"/>
      <w:r w:rsidRPr="00D67092">
        <w:rPr>
          <w:rFonts w:asciiTheme="minorHAnsi" w:hAnsiTheme="minorHAnsi"/>
        </w:rPr>
        <w:t>Beatus</w:t>
      </w:r>
      <w:proofErr w:type="spellEnd"/>
      <w:r w:rsidRPr="00D67092">
        <w:rPr>
          <w:rFonts w:asciiTheme="minorHAnsi" w:hAnsiTheme="minorHAnsi"/>
        </w:rPr>
        <w:t xml:space="preserve"> manuscripts.  In addressing four tenth-century maps, this paper will argue that visual and ideological aspects of earlier maps were incorporated into the </w:t>
      </w:r>
      <w:proofErr w:type="spellStart"/>
      <w:r w:rsidRPr="00D67092">
        <w:rPr>
          <w:rFonts w:asciiTheme="minorHAnsi" w:hAnsiTheme="minorHAnsi"/>
        </w:rPr>
        <w:t>Beatus</w:t>
      </w:r>
      <w:proofErr w:type="spellEnd"/>
      <w:r w:rsidRPr="00D67092">
        <w:rPr>
          <w:rFonts w:asciiTheme="minorHAnsi" w:hAnsiTheme="minorHAnsi"/>
        </w:rPr>
        <w:t xml:space="preserve"> images in order to convey messages pertinent to the monastic communities producing these works in northern Iberia.  By identifying and addressing cartographic features that were translated into the </w:t>
      </w:r>
      <w:proofErr w:type="spellStart"/>
      <w:r w:rsidRPr="00D67092">
        <w:rPr>
          <w:rFonts w:asciiTheme="minorHAnsi" w:hAnsiTheme="minorHAnsi"/>
        </w:rPr>
        <w:t>Beatus</w:t>
      </w:r>
      <w:proofErr w:type="spellEnd"/>
      <w:r w:rsidRPr="00D67092">
        <w:rPr>
          <w:rFonts w:asciiTheme="minorHAnsi" w:hAnsiTheme="minorHAnsi"/>
        </w:rPr>
        <w:t xml:space="preserve"> context, this paper will suggest the relevance of the inclusion, placement and form of these world maps.  Furthermore, it will demonstrate that those features chosen to develop these illustrations were designed to encourage the spread of Christianity and the triumph of the faith at judgment, ideas that were particularly poignant for those living in the isolated northern regions of a Muslim-occupied Iberia. </w:t>
      </w:r>
    </w:p>
    <w:p w14:paraId="1905D532" w14:textId="77777777" w:rsidR="00717579" w:rsidRPr="00D67092" w:rsidRDefault="00717579" w:rsidP="004F39BD">
      <w:pPr>
        <w:widowControl w:val="0"/>
        <w:autoSpaceDE w:val="0"/>
        <w:autoSpaceDN w:val="0"/>
        <w:adjustRightInd w:val="0"/>
        <w:rPr>
          <w:rStyle w:val="Emphasis"/>
          <w:rFonts w:asciiTheme="minorHAnsi" w:hAnsiTheme="minorHAnsi"/>
        </w:rPr>
      </w:pPr>
    </w:p>
    <w:p w14:paraId="5A97DC39" w14:textId="77777777" w:rsidR="00FC232E" w:rsidRPr="00D67092" w:rsidRDefault="00FC232E" w:rsidP="00FC232E">
      <w:pPr>
        <w:widowControl w:val="0"/>
        <w:autoSpaceDE w:val="0"/>
        <w:autoSpaceDN w:val="0"/>
        <w:adjustRightInd w:val="0"/>
        <w:rPr>
          <w:rFonts w:asciiTheme="minorHAnsi" w:eastAsiaTheme="minorHAnsi" w:hAnsiTheme="minorHAnsi"/>
          <w:lang w:val="en-US" w:eastAsia="en-US"/>
        </w:rPr>
      </w:pPr>
    </w:p>
    <w:tbl>
      <w:tblPr>
        <w:tblStyle w:val="TableGrid"/>
        <w:tblW w:w="0" w:type="auto"/>
        <w:tblLook w:val="04A0" w:firstRow="1" w:lastRow="0" w:firstColumn="1" w:lastColumn="0" w:noHBand="0" w:noVBand="1"/>
      </w:tblPr>
      <w:tblGrid>
        <w:gridCol w:w="8516"/>
      </w:tblGrid>
      <w:tr w:rsidR="00FC232E" w:rsidRPr="00D67092" w14:paraId="0618667A" w14:textId="77777777" w:rsidTr="00FC232E">
        <w:tc>
          <w:tcPr>
            <w:tcW w:w="8516" w:type="dxa"/>
            <w:tcBorders>
              <w:top w:val="single" w:sz="4" w:space="0" w:color="FF0000"/>
              <w:left w:val="single" w:sz="4" w:space="0" w:color="FF0000"/>
              <w:bottom w:val="single" w:sz="4" w:space="0" w:color="FF0000"/>
              <w:right w:val="single" w:sz="4" w:space="0" w:color="FF0000"/>
            </w:tcBorders>
            <w:shd w:val="clear" w:color="auto" w:fill="FF0000"/>
          </w:tcPr>
          <w:p w14:paraId="0EE86FDF" w14:textId="273B1A8C" w:rsidR="00FC232E" w:rsidRPr="00D67092" w:rsidRDefault="00FC232E" w:rsidP="00FC232E">
            <w:pPr>
              <w:jc w:val="center"/>
              <w:rPr>
                <w:rFonts w:asciiTheme="minorHAnsi" w:hAnsiTheme="minorHAnsi"/>
                <w:i/>
                <w:color w:val="FFFFFF" w:themeColor="background1"/>
              </w:rPr>
            </w:pPr>
            <w:r w:rsidRPr="00D67092">
              <w:rPr>
                <w:rStyle w:val="Emphasis"/>
                <w:rFonts w:asciiTheme="minorHAnsi" w:hAnsiTheme="minorHAnsi"/>
                <w:b/>
                <w:color w:val="FFFFFF" w:themeColor="background1"/>
                <w:highlight w:val="red"/>
              </w:rPr>
              <w:t xml:space="preserve">Session 2: </w:t>
            </w:r>
            <w:r w:rsidRPr="00D67092">
              <w:rPr>
                <w:rStyle w:val="Emphasis"/>
                <w:rFonts w:asciiTheme="minorHAnsi" w:hAnsiTheme="minorHAnsi"/>
                <w:b/>
                <w:color w:val="FFFFFF" w:themeColor="background1"/>
              </w:rPr>
              <w:t>Spain and the New World</w:t>
            </w:r>
          </w:p>
        </w:tc>
      </w:tr>
    </w:tbl>
    <w:p w14:paraId="5C537C34" w14:textId="77777777" w:rsidR="00FC232E" w:rsidRPr="00D67092" w:rsidRDefault="00FC232E" w:rsidP="00524BCB">
      <w:pPr>
        <w:rPr>
          <w:rFonts w:asciiTheme="minorHAnsi" w:hAnsiTheme="minorHAnsi"/>
          <w:b/>
        </w:rPr>
      </w:pPr>
    </w:p>
    <w:p w14:paraId="39E0537C" w14:textId="67EABA5F" w:rsidR="00524BCB" w:rsidRPr="00D67092" w:rsidRDefault="00CE6AA1" w:rsidP="00524BCB">
      <w:pPr>
        <w:rPr>
          <w:rFonts w:asciiTheme="minorHAnsi" w:hAnsiTheme="minorHAnsi"/>
          <w:b/>
        </w:rPr>
      </w:pPr>
      <w:r w:rsidRPr="00D67092">
        <w:rPr>
          <w:rFonts w:asciiTheme="minorHAnsi" w:hAnsiTheme="minorHAnsi"/>
          <w:b/>
        </w:rPr>
        <w:t>Towards a T</w:t>
      </w:r>
      <w:r w:rsidR="00524BCB" w:rsidRPr="00D67092">
        <w:rPr>
          <w:rFonts w:asciiTheme="minorHAnsi" w:hAnsiTheme="minorHAnsi"/>
          <w:b/>
        </w:rPr>
        <w:t xml:space="preserve">heory of </w:t>
      </w:r>
      <w:proofErr w:type="spellStart"/>
      <w:r w:rsidRPr="00D67092">
        <w:rPr>
          <w:rFonts w:asciiTheme="minorHAnsi" w:hAnsiTheme="minorHAnsi"/>
          <w:b/>
        </w:rPr>
        <w:t>M</w:t>
      </w:r>
      <w:r w:rsidR="00524BCB" w:rsidRPr="00D67092">
        <w:rPr>
          <w:rFonts w:asciiTheme="minorHAnsi" w:hAnsiTheme="minorHAnsi"/>
          <w:b/>
        </w:rPr>
        <w:t>udejar</w:t>
      </w:r>
      <w:proofErr w:type="spellEnd"/>
      <w:r w:rsidR="00524BCB" w:rsidRPr="00D67092">
        <w:rPr>
          <w:rFonts w:asciiTheme="minorHAnsi" w:hAnsiTheme="minorHAnsi"/>
          <w:b/>
        </w:rPr>
        <w:t xml:space="preserve"> </w:t>
      </w:r>
      <w:r w:rsidRPr="00D67092">
        <w:rPr>
          <w:rFonts w:asciiTheme="minorHAnsi" w:hAnsiTheme="minorHAnsi"/>
          <w:b/>
        </w:rPr>
        <w:t>A</w:t>
      </w:r>
      <w:r w:rsidR="00524BCB" w:rsidRPr="00D67092">
        <w:rPr>
          <w:rFonts w:asciiTheme="minorHAnsi" w:hAnsiTheme="minorHAnsi"/>
          <w:b/>
        </w:rPr>
        <w:t>rt</w:t>
      </w:r>
    </w:p>
    <w:p w14:paraId="6DEF8733" w14:textId="77777777" w:rsidR="00524BCB" w:rsidRPr="00D67092" w:rsidRDefault="00524BCB" w:rsidP="00524BCB">
      <w:pPr>
        <w:rPr>
          <w:rFonts w:asciiTheme="minorHAnsi" w:hAnsiTheme="minorHAnsi"/>
          <w:i/>
        </w:rPr>
      </w:pPr>
      <w:r w:rsidRPr="00D67092">
        <w:rPr>
          <w:rFonts w:asciiTheme="minorHAnsi" w:hAnsiTheme="minorHAnsi"/>
          <w:i/>
        </w:rPr>
        <w:t>Maria Judith Feliciano, Independent Scholar, USA</w:t>
      </w:r>
    </w:p>
    <w:p w14:paraId="1922907D" w14:textId="77777777" w:rsidR="00524BCB" w:rsidRPr="00D67092" w:rsidRDefault="00524BCB" w:rsidP="00524BCB">
      <w:pPr>
        <w:widowControl w:val="0"/>
        <w:autoSpaceDE w:val="0"/>
        <w:autoSpaceDN w:val="0"/>
        <w:adjustRightInd w:val="0"/>
        <w:rPr>
          <w:rFonts w:asciiTheme="minorHAnsi" w:eastAsiaTheme="minorHAnsi" w:hAnsiTheme="minorHAnsi"/>
          <w:lang w:val="en-US" w:eastAsia="en-US"/>
        </w:rPr>
      </w:pPr>
      <w:r w:rsidRPr="00D67092">
        <w:rPr>
          <w:rFonts w:asciiTheme="minorHAnsi" w:eastAsiaTheme="minorHAnsi" w:hAnsiTheme="minorHAnsi"/>
          <w:lang w:val="en-US" w:eastAsia="en-US"/>
        </w:rPr>
        <w:t xml:space="preserve">Since the second half of the nineteenth century, when the term </w:t>
      </w:r>
      <w:proofErr w:type="spellStart"/>
      <w:r w:rsidRPr="00D67092">
        <w:rPr>
          <w:rFonts w:asciiTheme="minorHAnsi" w:eastAsiaTheme="minorHAnsi" w:hAnsiTheme="minorHAnsi"/>
          <w:lang w:val="en-US" w:eastAsia="en-US"/>
        </w:rPr>
        <w:t>mudéjar</w:t>
      </w:r>
      <w:proofErr w:type="spellEnd"/>
      <w:r w:rsidRPr="00D67092">
        <w:rPr>
          <w:rFonts w:asciiTheme="minorHAnsi" w:eastAsiaTheme="minorHAnsi" w:hAnsiTheme="minorHAnsi"/>
          <w:lang w:val="en-US" w:eastAsia="en-US"/>
        </w:rPr>
        <w:t xml:space="preserve"> became widely used by art historians to designate the integration of the "Islamic" aesthetic on "Christian" art, our understanding of the history of cultural exchange in medieval Iberia has grown immensely. Yet, the use of term </w:t>
      </w:r>
      <w:proofErr w:type="spellStart"/>
      <w:r w:rsidRPr="00D67092">
        <w:rPr>
          <w:rFonts w:asciiTheme="minorHAnsi" w:eastAsiaTheme="minorHAnsi" w:hAnsiTheme="minorHAnsi"/>
          <w:lang w:val="en-US" w:eastAsia="en-US"/>
        </w:rPr>
        <w:t>mudéjar</w:t>
      </w:r>
      <w:proofErr w:type="spellEnd"/>
      <w:r w:rsidRPr="00D67092">
        <w:rPr>
          <w:rFonts w:asciiTheme="minorHAnsi" w:eastAsiaTheme="minorHAnsi" w:hAnsiTheme="minorHAnsi"/>
          <w:lang w:val="en-US" w:eastAsia="en-US"/>
        </w:rPr>
        <w:t xml:space="preserve">--with its reliance on religious difference to explain a common visual vocabulary, traditional neglect of contextually-driven interpretation in favor of aesthetic formalism, and ahistorical perspective that understands the concept of Islamic influence as a monolithic element of medieval and early modern Iberian art--remains problematic vis-à-vis the historical record. Despite its established use, the suitability of the </w:t>
      </w:r>
      <w:proofErr w:type="spellStart"/>
      <w:r w:rsidRPr="00D67092">
        <w:rPr>
          <w:rFonts w:asciiTheme="minorHAnsi" w:eastAsiaTheme="minorHAnsi" w:hAnsiTheme="minorHAnsi"/>
          <w:lang w:val="en-US" w:eastAsia="en-US"/>
        </w:rPr>
        <w:t>mudéjar</w:t>
      </w:r>
      <w:proofErr w:type="spellEnd"/>
      <w:r w:rsidRPr="00D67092">
        <w:rPr>
          <w:rFonts w:asciiTheme="minorHAnsi" w:eastAsiaTheme="minorHAnsi" w:hAnsiTheme="minorHAnsi"/>
          <w:lang w:val="en-US" w:eastAsia="en-US"/>
        </w:rPr>
        <w:t xml:space="preserve"> as a category of analysis must be questioned. </w:t>
      </w:r>
    </w:p>
    <w:p w14:paraId="5E0DC0AF" w14:textId="77777777" w:rsidR="00524BCB" w:rsidRPr="00D67092" w:rsidRDefault="00524BCB" w:rsidP="00524BCB">
      <w:pPr>
        <w:widowControl w:val="0"/>
        <w:autoSpaceDE w:val="0"/>
        <w:autoSpaceDN w:val="0"/>
        <w:adjustRightInd w:val="0"/>
        <w:rPr>
          <w:rFonts w:asciiTheme="minorHAnsi" w:eastAsiaTheme="minorHAnsi" w:hAnsiTheme="minorHAnsi"/>
          <w:lang w:val="en-US" w:eastAsia="en-US"/>
        </w:rPr>
      </w:pPr>
      <w:r w:rsidRPr="00D67092">
        <w:rPr>
          <w:rFonts w:asciiTheme="minorHAnsi" w:eastAsiaTheme="minorHAnsi" w:hAnsiTheme="minorHAnsi"/>
          <w:lang w:val="en-US" w:eastAsia="en-US"/>
        </w:rPr>
        <w:t>I propose to move beyond the traditional associations of the label “</w:t>
      </w:r>
      <w:proofErr w:type="spellStart"/>
      <w:r w:rsidRPr="00D67092">
        <w:rPr>
          <w:rFonts w:asciiTheme="minorHAnsi" w:eastAsiaTheme="minorHAnsi" w:hAnsiTheme="minorHAnsi"/>
          <w:lang w:val="en-US" w:eastAsia="en-US"/>
        </w:rPr>
        <w:t>mudéjar</w:t>
      </w:r>
      <w:proofErr w:type="spellEnd"/>
      <w:r w:rsidRPr="00D67092">
        <w:rPr>
          <w:rFonts w:asciiTheme="minorHAnsi" w:eastAsiaTheme="minorHAnsi" w:hAnsiTheme="minorHAnsi"/>
          <w:lang w:val="en-US" w:eastAsia="en-US"/>
        </w:rPr>
        <w:t xml:space="preserve">” in order to interpret the reasons behind the selection of salient </w:t>
      </w:r>
      <w:proofErr w:type="spellStart"/>
      <w:r w:rsidRPr="00D67092">
        <w:rPr>
          <w:rFonts w:asciiTheme="minorHAnsi" w:eastAsiaTheme="minorHAnsi" w:hAnsiTheme="minorHAnsi"/>
          <w:lang w:val="en-US" w:eastAsia="en-US"/>
        </w:rPr>
        <w:t>Andalusi</w:t>
      </w:r>
      <w:proofErr w:type="spellEnd"/>
      <w:r w:rsidRPr="00D67092">
        <w:rPr>
          <w:rFonts w:asciiTheme="minorHAnsi" w:eastAsiaTheme="minorHAnsi" w:hAnsiTheme="minorHAnsi"/>
          <w:lang w:val="en-US" w:eastAsia="en-US"/>
        </w:rPr>
        <w:t xml:space="preserve"> aesthetic features. The Iberian visual repertoire was never composed simply of “Christian” and “Islamic” forms. Rather, since the early medieval period, it was a thoroughly mixed bag of aesthetic options that included visual information from across Europe and the Mediterranean, anchored by strong native Iberian traditions, where the assimilated arts of al-</w:t>
      </w:r>
      <w:proofErr w:type="spellStart"/>
      <w:r w:rsidRPr="00D67092">
        <w:rPr>
          <w:rFonts w:asciiTheme="minorHAnsi" w:eastAsiaTheme="minorHAnsi" w:hAnsiTheme="minorHAnsi"/>
          <w:lang w:val="en-US" w:eastAsia="en-US"/>
        </w:rPr>
        <w:t>Andalus</w:t>
      </w:r>
      <w:proofErr w:type="spellEnd"/>
      <w:r w:rsidRPr="00D67092">
        <w:rPr>
          <w:rFonts w:asciiTheme="minorHAnsi" w:eastAsiaTheme="minorHAnsi" w:hAnsiTheme="minorHAnsi"/>
          <w:lang w:val="en-US" w:eastAsia="en-US"/>
        </w:rPr>
        <w:t xml:space="preserve"> must be identified. Within this context, the idea of an "American </w:t>
      </w:r>
      <w:proofErr w:type="spellStart"/>
      <w:r w:rsidRPr="00D67092">
        <w:rPr>
          <w:rFonts w:asciiTheme="minorHAnsi" w:eastAsiaTheme="minorHAnsi" w:hAnsiTheme="minorHAnsi"/>
          <w:lang w:val="en-US" w:eastAsia="en-US"/>
        </w:rPr>
        <w:t>Mudejar</w:t>
      </w:r>
      <w:proofErr w:type="spellEnd"/>
      <w:r w:rsidRPr="00D67092">
        <w:rPr>
          <w:rFonts w:asciiTheme="minorHAnsi" w:eastAsiaTheme="minorHAnsi" w:hAnsiTheme="minorHAnsi"/>
          <w:lang w:val="en-US" w:eastAsia="en-US"/>
        </w:rPr>
        <w:t>" must also be reconsidered. I propose that it should no longer be considered an extension of the arts of Islam in the viceroyalties, but rather part of a quintessentially Iberian aesthetic.</w:t>
      </w:r>
    </w:p>
    <w:p w14:paraId="4DA420E6" w14:textId="77777777" w:rsidR="00524BCB" w:rsidRPr="00D67092" w:rsidRDefault="00524BCB" w:rsidP="004F39BD">
      <w:pPr>
        <w:widowControl w:val="0"/>
        <w:autoSpaceDE w:val="0"/>
        <w:autoSpaceDN w:val="0"/>
        <w:adjustRightInd w:val="0"/>
        <w:rPr>
          <w:rStyle w:val="Emphasis"/>
          <w:rFonts w:asciiTheme="minorHAnsi" w:hAnsiTheme="minorHAnsi"/>
        </w:rPr>
      </w:pPr>
    </w:p>
    <w:p w14:paraId="17E5FA4A" w14:textId="77777777" w:rsidR="000B791E" w:rsidRPr="00D67092" w:rsidRDefault="000B791E" w:rsidP="00183372">
      <w:pPr>
        <w:widowControl w:val="0"/>
        <w:autoSpaceDE w:val="0"/>
        <w:autoSpaceDN w:val="0"/>
        <w:adjustRightInd w:val="0"/>
        <w:rPr>
          <w:rFonts w:asciiTheme="minorHAnsi" w:hAnsiTheme="minorHAnsi"/>
          <w:b/>
        </w:rPr>
      </w:pPr>
      <w:r w:rsidRPr="00D67092">
        <w:rPr>
          <w:rFonts w:asciiTheme="minorHAnsi" w:eastAsiaTheme="minorHAnsi" w:hAnsiTheme="minorHAnsi"/>
          <w:b/>
          <w:lang w:val="en-US" w:eastAsia="en-US"/>
        </w:rPr>
        <w:t>The Matter of Metaphor: An Ambiguous Image of Empire in a 16th Century Peruvian Manuscript</w:t>
      </w:r>
    </w:p>
    <w:p w14:paraId="6CBFACB1" w14:textId="1F95E68C" w:rsidR="000B791E" w:rsidRPr="00D67092" w:rsidRDefault="00183372" w:rsidP="00183372">
      <w:pPr>
        <w:widowControl w:val="0"/>
        <w:autoSpaceDE w:val="0"/>
        <w:autoSpaceDN w:val="0"/>
        <w:adjustRightInd w:val="0"/>
        <w:rPr>
          <w:rFonts w:asciiTheme="minorHAnsi" w:hAnsiTheme="minorHAnsi"/>
          <w:i/>
        </w:rPr>
      </w:pPr>
      <w:r w:rsidRPr="00D67092">
        <w:rPr>
          <w:rFonts w:asciiTheme="minorHAnsi" w:hAnsiTheme="minorHAnsi"/>
          <w:i/>
        </w:rPr>
        <w:t>Tom Cummins, Harvard University</w:t>
      </w:r>
      <w:r w:rsidR="00524BCB" w:rsidRPr="00D67092">
        <w:rPr>
          <w:rFonts w:asciiTheme="minorHAnsi" w:hAnsiTheme="minorHAnsi"/>
          <w:i/>
        </w:rPr>
        <w:t>, USA</w:t>
      </w:r>
      <w:r w:rsidRPr="00D67092">
        <w:rPr>
          <w:rFonts w:asciiTheme="minorHAnsi" w:hAnsiTheme="minorHAnsi"/>
          <w:i/>
        </w:rPr>
        <w:t xml:space="preserve"> </w:t>
      </w:r>
    </w:p>
    <w:p w14:paraId="1050EAE7" w14:textId="77777777" w:rsidR="00183372" w:rsidRPr="00D67092" w:rsidRDefault="006870EB" w:rsidP="00524BCB">
      <w:pPr>
        <w:widowControl w:val="0"/>
        <w:autoSpaceDE w:val="0"/>
        <w:autoSpaceDN w:val="0"/>
        <w:adjustRightInd w:val="0"/>
        <w:ind w:firstLine="720"/>
        <w:rPr>
          <w:rFonts w:asciiTheme="minorHAnsi" w:hAnsiTheme="minorHAnsi"/>
        </w:rPr>
      </w:pPr>
      <w:r w:rsidRPr="00D67092">
        <w:rPr>
          <w:rFonts w:asciiTheme="minorHAnsi" w:hAnsiTheme="minorHAnsi"/>
        </w:rPr>
        <w:t xml:space="preserve">Abstract to follow </w:t>
      </w:r>
    </w:p>
    <w:p w14:paraId="0B506947" w14:textId="77777777" w:rsidR="006870EB" w:rsidRPr="00D67092" w:rsidRDefault="006870EB" w:rsidP="00183372">
      <w:pPr>
        <w:widowControl w:val="0"/>
        <w:autoSpaceDE w:val="0"/>
        <w:autoSpaceDN w:val="0"/>
        <w:adjustRightInd w:val="0"/>
        <w:rPr>
          <w:rFonts w:asciiTheme="minorHAnsi" w:hAnsiTheme="minorHAnsi"/>
        </w:rPr>
      </w:pPr>
    </w:p>
    <w:p w14:paraId="02823BF4" w14:textId="6CDEAE97" w:rsidR="00524BCB" w:rsidRPr="00D67092" w:rsidRDefault="00524BCB" w:rsidP="00183372">
      <w:pPr>
        <w:widowControl w:val="0"/>
        <w:autoSpaceDE w:val="0"/>
        <w:autoSpaceDN w:val="0"/>
        <w:adjustRightInd w:val="0"/>
        <w:rPr>
          <w:rFonts w:asciiTheme="minorHAnsi" w:eastAsiaTheme="minorHAnsi" w:hAnsiTheme="minorHAnsi"/>
          <w:b/>
          <w:i/>
          <w:lang w:val="en-US" w:eastAsia="en-US"/>
        </w:rPr>
      </w:pPr>
      <w:r w:rsidRPr="00D67092">
        <w:rPr>
          <w:rFonts w:asciiTheme="minorHAnsi" w:eastAsiaTheme="minorHAnsi" w:hAnsiTheme="minorHAnsi"/>
          <w:b/>
          <w:i/>
          <w:lang w:val="en-US" w:eastAsia="en-US"/>
        </w:rPr>
        <w:t>Translation/</w:t>
      </w:r>
      <w:proofErr w:type="spellStart"/>
      <w:r w:rsidRPr="00D67092">
        <w:rPr>
          <w:rFonts w:asciiTheme="minorHAnsi" w:eastAsiaTheme="minorHAnsi" w:hAnsiTheme="minorHAnsi"/>
          <w:b/>
          <w:i/>
          <w:lang w:val="en-US" w:eastAsia="en-US"/>
        </w:rPr>
        <w:t>Translatio</w:t>
      </w:r>
      <w:proofErr w:type="spellEnd"/>
      <w:r w:rsidRPr="00D67092">
        <w:rPr>
          <w:rFonts w:asciiTheme="minorHAnsi" w:eastAsiaTheme="minorHAnsi" w:hAnsiTheme="minorHAnsi"/>
          <w:b/>
          <w:i/>
          <w:lang w:val="en-US" w:eastAsia="en-US"/>
        </w:rPr>
        <w:t>: Importing Sacred Images in the New World"</w:t>
      </w:r>
    </w:p>
    <w:p w14:paraId="7F23603F" w14:textId="0C5B0ADC" w:rsidR="00183372" w:rsidRPr="00D67092" w:rsidRDefault="00183372" w:rsidP="00183372">
      <w:pPr>
        <w:widowControl w:val="0"/>
        <w:autoSpaceDE w:val="0"/>
        <w:autoSpaceDN w:val="0"/>
        <w:adjustRightInd w:val="0"/>
        <w:rPr>
          <w:rFonts w:asciiTheme="minorHAnsi" w:eastAsiaTheme="minorHAnsi" w:hAnsiTheme="minorHAnsi"/>
          <w:i/>
          <w:lang w:val="en-US" w:eastAsia="en-US"/>
        </w:rPr>
      </w:pPr>
      <w:r w:rsidRPr="00D67092">
        <w:rPr>
          <w:rFonts w:asciiTheme="minorHAnsi" w:hAnsiTheme="minorHAnsi"/>
          <w:i/>
        </w:rPr>
        <w:t>F</w:t>
      </w:r>
      <w:proofErr w:type="spellStart"/>
      <w:r w:rsidRPr="00D67092">
        <w:rPr>
          <w:rFonts w:asciiTheme="minorHAnsi" w:eastAsiaTheme="minorHAnsi" w:hAnsiTheme="minorHAnsi"/>
          <w:i/>
          <w:lang w:val="en-US" w:eastAsia="en-US"/>
        </w:rPr>
        <w:t>elipe</w:t>
      </w:r>
      <w:proofErr w:type="spellEnd"/>
      <w:r w:rsidRPr="00D67092">
        <w:rPr>
          <w:rFonts w:asciiTheme="minorHAnsi" w:eastAsiaTheme="minorHAnsi" w:hAnsiTheme="minorHAnsi"/>
          <w:i/>
          <w:lang w:val="en-US" w:eastAsia="en-US"/>
        </w:rPr>
        <w:t xml:space="preserve"> </w:t>
      </w:r>
      <w:proofErr w:type="spellStart"/>
      <w:r w:rsidRPr="00D67092">
        <w:rPr>
          <w:rFonts w:asciiTheme="minorHAnsi" w:eastAsiaTheme="minorHAnsi" w:hAnsiTheme="minorHAnsi"/>
          <w:i/>
          <w:lang w:val="en-US" w:eastAsia="en-US"/>
        </w:rPr>
        <w:t>Pereda</w:t>
      </w:r>
      <w:proofErr w:type="spellEnd"/>
      <w:r w:rsidRPr="00D67092">
        <w:rPr>
          <w:rFonts w:asciiTheme="minorHAnsi" w:eastAsiaTheme="minorHAnsi" w:hAnsiTheme="minorHAnsi"/>
          <w:i/>
          <w:lang w:val="en-US" w:eastAsia="en-US"/>
        </w:rPr>
        <w:t>, Johns Hopkins University</w:t>
      </w:r>
      <w:r w:rsidR="00524BCB" w:rsidRPr="00D67092">
        <w:rPr>
          <w:rFonts w:asciiTheme="minorHAnsi" w:eastAsiaTheme="minorHAnsi" w:hAnsiTheme="minorHAnsi"/>
          <w:i/>
          <w:lang w:val="en-US" w:eastAsia="en-US"/>
        </w:rPr>
        <w:t>, USA</w:t>
      </w:r>
      <w:r w:rsidRPr="00D67092">
        <w:rPr>
          <w:rFonts w:asciiTheme="minorHAnsi" w:eastAsiaTheme="minorHAnsi" w:hAnsiTheme="minorHAnsi"/>
          <w:i/>
          <w:lang w:val="en-US" w:eastAsia="en-US"/>
        </w:rPr>
        <w:t xml:space="preserve"> </w:t>
      </w:r>
    </w:p>
    <w:p w14:paraId="0B303FC9" w14:textId="77777777" w:rsidR="00183372" w:rsidRPr="00D67092" w:rsidRDefault="00183372" w:rsidP="00524BCB">
      <w:pPr>
        <w:widowControl w:val="0"/>
        <w:autoSpaceDE w:val="0"/>
        <w:autoSpaceDN w:val="0"/>
        <w:adjustRightInd w:val="0"/>
        <w:ind w:firstLine="720"/>
        <w:rPr>
          <w:rFonts w:asciiTheme="minorHAnsi" w:eastAsiaTheme="minorHAnsi" w:hAnsiTheme="minorHAnsi"/>
          <w:lang w:val="en-US" w:eastAsia="en-US"/>
        </w:rPr>
      </w:pPr>
      <w:r w:rsidRPr="00D67092">
        <w:rPr>
          <w:rFonts w:asciiTheme="minorHAnsi" w:eastAsiaTheme="minorHAnsi" w:hAnsiTheme="minorHAnsi"/>
          <w:lang w:val="en-US" w:eastAsia="en-US"/>
        </w:rPr>
        <w:t xml:space="preserve">Abstract to follow </w:t>
      </w:r>
    </w:p>
    <w:p w14:paraId="3A04D097" w14:textId="77777777" w:rsidR="006870EB" w:rsidRPr="00D67092" w:rsidRDefault="006870EB" w:rsidP="00183372">
      <w:pPr>
        <w:rPr>
          <w:rFonts w:asciiTheme="minorHAnsi" w:hAnsiTheme="minorHAnsi"/>
        </w:rPr>
      </w:pPr>
    </w:p>
    <w:p w14:paraId="5576233B" w14:textId="77777777" w:rsidR="00FC232E" w:rsidRPr="00D67092" w:rsidRDefault="00FC232E" w:rsidP="00FC232E">
      <w:pPr>
        <w:widowControl w:val="0"/>
        <w:autoSpaceDE w:val="0"/>
        <w:autoSpaceDN w:val="0"/>
        <w:adjustRightInd w:val="0"/>
        <w:rPr>
          <w:rFonts w:asciiTheme="minorHAnsi" w:eastAsiaTheme="minorHAnsi" w:hAnsiTheme="minorHAnsi"/>
          <w:lang w:val="en-US" w:eastAsia="en-US"/>
        </w:rPr>
      </w:pPr>
    </w:p>
    <w:tbl>
      <w:tblPr>
        <w:tblStyle w:val="TableGrid"/>
        <w:tblW w:w="0" w:type="auto"/>
        <w:tblLook w:val="04A0" w:firstRow="1" w:lastRow="0" w:firstColumn="1" w:lastColumn="0" w:noHBand="0" w:noVBand="1"/>
      </w:tblPr>
      <w:tblGrid>
        <w:gridCol w:w="8516"/>
      </w:tblGrid>
      <w:tr w:rsidR="00FC232E" w:rsidRPr="00D67092" w14:paraId="18A3596F" w14:textId="77777777" w:rsidTr="00FC232E">
        <w:tc>
          <w:tcPr>
            <w:tcW w:w="8516" w:type="dxa"/>
            <w:tcBorders>
              <w:top w:val="single" w:sz="4" w:space="0" w:color="FF0000"/>
              <w:left w:val="single" w:sz="4" w:space="0" w:color="FF0000"/>
              <w:bottom w:val="single" w:sz="4" w:space="0" w:color="FF0000"/>
              <w:right w:val="single" w:sz="4" w:space="0" w:color="FF0000"/>
            </w:tcBorders>
            <w:shd w:val="clear" w:color="auto" w:fill="FF0000"/>
          </w:tcPr>
          <w:p w14:paraId="303266ED" w14:textId="22542EB7" w:rsidR="00FC232E" w:rsidRPr="00D67092" w:rsidRDefault="00FC232E" w:rsidP="00FC232E">
            <w:pPr>
              <w:jc w:val="center"/>
              <w:rPr>
                <w:rFonts w:asciiTheme="minorHAnsi" w:hAnsiTheme="minorHAnsi"/>
                <w:i/>
                <w:color w:val="FFFFFF" w:themeColor="background1"/>
              </w:rPr>
            </w:pPr>
            <w:r w:rsidRPr="00D67092">
              <w:rPr>
                <w:rStyle w:val="Emphasis"/>
                <w:rFonts w:asciiTheme="minorHAnsi" w:hAnsiTheme="minorHAnsi"/>
                <w:b/>
                <w:color w:val="FFFFFF" w:themeColor="background1"/>
                <w:highlight w:val="red"/>
              </w:rPr>
              <w:t xml:space="preserve">Session 3: </w:t>
            </w:r>
            <w:proofErr w:type="spellStart"/>
            <w:r w:rsidRPr="00D67092">
              <w:rPr>
                <w:rStyle w:val="Emphasis"/>
                <w:rFonts w:asciiTheme="minorHAnsi" w:hAnsiTheme="minorHAnsi"/>
                <w:b/>
                <w:color w:val="FFFFFF" w:themeColor="background1"/>
                <w:highlight w:val="red"/>
              </w:rPr>
              <w:t>Foreignisation</w:t>
            </w:r>
            <w:proofErr w:type="spellEnd"/>
            <w:r w:rsidRPr="00D67092">
              <w:rPr>
                <w:rStyle w:val="Emphasis"/>
                <w:rFonts w:asciiTheme="minorHAnsi" w:hAnsiTheme="minorHAnsi"/>
                <w:b/>
                <w:color w:val="FFFFFF" w:themeColor="background1"/>
                <w:highlight w:val="red"/>
              </w:rPr>
              <w:t xml:space="preserve">, Domestication, Adaptation </w:t>
            </w:r>
          </w:p>
        </w:tc>
      </w:tr>
    </w:tbl>
    <w:p w14:paraId="2443A80A" w14:textId="77777777" w:rsidR="00FC232E" w:rsidRPr="00D67092" w:rsidRDefault="00FC232E" w:rsidP="00183372">
      <w:pPr>
        <w:rPr>
          <w:rFonts w:asciiTheme="minorHAnsi" w:hAnsiTheme="minorHAnsi"/>
        </w:rPr>
      </w:pPr>
    </w:p>
    <w:p w14:paraId="505FE455" w14:textId="2345E5C0" w:rsidR="00524BCB" w:rsidRPr="00D67092" w:rsidRDefault="00524BCB" w:rsidP="00524BCB">
      <w:pPr>
        <w:rPr>
          <w:rFonts w:asciiTheme="minorHAnsi" w:hAnsiTheme="minorHAnsi"/>
          <w:b/>
          <w:bCs/>
        </w:rPr>
      </w:pPr>
      <w:proofErr w:type="spellStart"/>
      <w:proofErr w:type="gramStart"/>
      <w:r w:rsidRPr="00D67092">
        <w:rPr>
          <w:rFonts w:asciiTheme="minorHAnsi" w:hAnsiTheme="minorHAnsi"/>
          <w:b/>
          <w:bCs/>
        </w:rPr>
        <w:t>Melchiorre</w:t>
      </w:r>
      <w:proofErr w:type="spellEnd"/>
      <w:r w:rsidRPr="00D67092">
        <w:rPr>
          <w:rFonts w:asciiTheme="minorHAnsi" w:hAnsiTheme="minorHAnsi"/>
          <w:b/>
          <w:bCs/>
        </w:rPr>
        <w:t xml:space="preserve"> </w:t>
      </w:r>
      <w:proofErr w:type="spellStart"/>
      <w:r w:rsidRPr="00D67092">
        <w:rPr>
          <w:rFonts w:asciiTheme="minorHAnsi" w:hAnsiTheme="minorHAnsi"/>
          <w:b/>
          <w:bCs/>
        </w:rPr>
        <w:t>Caf</w:t>
      </w:r>
      <w:r w:rsidRPr="00D67092">
        <w:rPr>
          <w:rFonts w:asciiTheme="minorHAnsi" w:hAnsiTheme="minorHAnsi"/>
          <w:b/>
        </w:rPr>
        <w:t>à</w:t>
      </w:r>
      <w:r w:rsidRPr="00D67092">
        <w:rPr>
          <w:rFonts w:asciiTheme="minorHAnsi" w:hAnsiTheme="minorHAnsi"/>
          <w:b/>
          <w:bCs/>
        </w:rPr>
        <w:t>'s</w:t>
      </w:r>
      <w:proofErr w:type="spellEnd"/>
      <w:r w:rsidRPr="00D67092">
        <w:rPr>
          <w:rFonts w:asciiTheme="minorHAnsi" w:hAnsiTheme="minorHAnsi"/>
          <w:b/>
          <w:bCs/>
        </w:rPr>
        <w:t xml:space="preserve"> sculpture of </w:t>
      </w:r>
      <w:proofErr w:type="spellStart"/>
      <w:r w:rsidRPr="00D67092">
        <w:rPr>
          <w:rFonts w:asciiTheme="minorHAnsi" w:hAnsiTheme="minorHAnsi"/>
          <w:b/>
          <w:bCs/>
        </w:rPr>
        <w:t>Sta</w:t>
      </w:r>
      <w:proofErr w:type="spellEnd"/>
      <w:r w:rsidRPr="00D67092">
        <w:rPr>
          <w:rFonts w:asciiTheme="minorHAnsi" w:hAnsiTheme="minorHAnsi"/>
          <w:b/>
          <w:bCs/>
        </w:rPr>
        <w:t xml:space="preserve"> Rosa of Lima.</w:t>
      </w:r>
      <w:proofErr w:type="gramEnd"/>
      <w:r w:rsidRPr="00D67092">
        <w:rPr>
          <w:rFonts w:asciiTheme="minorHAnsi" w:hAnsiTheme="minorHAnsi"/>
          <w:b/>
          <w:bCs/>
        </w:rPr>
        <w:t xml:space="preserve"> The </w:t>
      </w:r>
      <w:r w:rsidR="00FC232E" w:rsidRPr="00D67092">
        <w:rPr>
          <w:rFonts w:asciiTheme="minorHAnsi" w:hAnsiTheme="minorHAnsi"/>
          <w:b/>
          <w:bCs/>
        </w:rPr>
        <w:t>Export of a B</w:t>
      </w:r>
      <w:r w:rsidRPr="00D67092">
        <w:rPr>
          <w:rFonts w:asciiTheme="minorHAnsi" w:hAnsiTheme="minorHAnsi"/>
          <w:b/>
          <w:bCs/>
        </w:rPr>
        <w:t xml:space="preserve">aroque </w:t>
      </w:r>
      <w:r w:rsidR="00FC232E" w:rsidRPr="00D67092">
        <w:rPr>
          <w:rFonts w:asciiTheme="minorHAnsi" w:hAnsiTheme="minorHAnsi"/>
          <w:b/>
          <w:bCs/>
        </w:rPr>
        <w:t>Marble S</w:t>
      </w:r>
      <w:r w:rsidRPr="00D67092">
        <w:rPr>
          <w:rFonts w:asciiTheme="minorHAnsi" w:hAnsiTheme="minorHAnsi"/>
          <w:b/>
          <w:bCs/>
        </w:rPr>
        <w:t>culpture from Rome to Peru</w:t>
      </w:r>
    </w:p>
    <w:p w14:paraId="09C77CEE" w14:textId="77777777" w:rsidR="00524BCB" w:rsidRPr="00D67092" w:rsidRDefault="00524BCB" w:rsidP="00524BCB">
      <w:pPr>
        <w:rPr>
          <w:rFonts w:asciiTheme="minorHAnsi" w:eastAsiaTheme="minorHAnsi" w:hAnsiTheme="minorHAnsi"/>
          <w:i/>
          <w:lang w:val="en-US" w:eastAsia="en-US"/>
        </w:rPr>
      </w:pPr>
      <w:r w:rsidRPr="00D67092">
        <w:rPr>
          <w:rFonts w:asciiTheme="minorHAnsi" w:hAnsiTheme="minorHAnsi"/>
          <w:i/>
        </w:rPr>
        <w:t>Marjorie Trusted, Victoria and Albert Museum, London, UK</w:t>
      </w:r>
    </w:p>
    <w:p w14:paraId="45106717" w14:textId="77777777" w:rsidR="00524BCB" w:rsidRPr="00D67092" w:rsidRDefault="00524BCB" w:rsidP="00524BCB">
      <w:pPr>
        <w:rPr>
          <w:rFonts w:asciiTheme="minorHAnsi" w:hAnsiTheme="minorHAnsi"/>
        </w:rPr>
      </w:pPr>
      <w:r w:rsidRPr="00D67092">
        <w:rPr>
          <w:rFonts w:asciiTheme="minorHAnsi" w:hAnsiTheme="minorHAnsi"/>
        </w:rPr>
        <w:t xml:space="preserve">The marble figure of </w:t>
      </w:r>
      <w:proofErr w:type="spellStart"/>
      <w:r w:rsidRPr="00D67092">
        <w:rPr>
          <w:rFonts w:asciiTheme="minorHAnsi" w:hAnsiTheme="minorHAnsi"/>
          <w:i/>
        </w:rPr>
        <w:t>Sta</w:t>
      </w:r>
      <w:proofErr w:type="spellEnd"/>
      <w:r w:rsidRPr="00D67092">
        <w:rPr>
          <w:rFonts w:asciiTheme="minorHAnsi" w:hAnsiTheme="minorHAnsi"/>
          <w:i/>
        </w:rPr>
        <w:t xml:space="preserve"> Rosa of Lima</w:t>
      </w:r>
      <w:r w:rsidRPr="00D67092">
        <w:rPr>
          <w:rFonts w:asciiTheme="minorHAnsi" w:hAnsiTheme="minorHAnsi"/>
        </w:rPr>
        <w:t xml:space="preserve"> by </w:t>
      </w:r>
      <w:proofErr w:type="spellStart"/>
      <w:r w:rsidRPr="00D67092">
        <w:rPr>
          <w:rFonts w:asciiTheme="minorHAnsi" w:hAnsiTheme="minorHAnsi"/>
        </w:rPr>
        <w:t>Melchiorre</w:t>
      </w:r>
      <w:proofErr w:type="spellEnd"/>
      <w:r w:rsidRPr="00D67092">
        <w:rPr>
          <w:rFonts w:asciiTheme="minorHAnsi" w:hAnsiTheme="minorHAnsi"/>
        </w:rPr>
        <w:t xml:space="preserve"> </w:t>
      </w:r>
      <w:proofErr w:type="spellStart"/>
      <w:r w:rsidRPr="00D67092">
        <w:rPr>
          <w:rFonts w:asciiTheme="minorHAnsi" w:hAnsiTheme="minorHAnsi"/>
        </w:rPr>
        <w:t>Cafà</w:t>
      </w:r>
      <w:proofErr w:type="spellEnd"/>
      <w:r w:rsidRPr="00D67092">
        <w:rPr>
          <w:rFonts w:asciiTheme="minorHAnsi" w:hAnsiTheme="minorHAnsi"/>
        </w:rPr>
        <w:t xml:space="preserve"> (1636-1667), the Maltese sculptor active in Rome, was sent to Lima in 1669. It remains an extraordinary work, isolated in style and surface from its immediate architectural and sculptural surroundings.  Works of art had been exported to </w:t>
      </w:r>
      <w:proofErr w:type="spellStart"/>
      <w:r w:rsidRPr="00D67092">
        <w:rPr>
          <w:rFonts w:asciiTheme="minorHAnsi" w:hAnsiTheme="minorHAnsi"/>
        </w:rPr>
        <w:t>Viceregal</w:t>
      </w:r>
      <w:proofErr w:type="spellEnd"/>
      <w:r w:rsidRPr="00D67092">
        <w:rPr>
          <w:rFonts w:asciiTheme="minorHAnsi" w:hAnsiTheme="minorHAnsi"/>
        </w:rPr>
        <w:t xml:space="preserve"> America from the sixteenth century onwards, but a marble sculpture such as this seems to have been virtually unique. </w:t>
      </w:r>
      <w:proofErr w:type="spellStart"/>
      <w:r w:rsidRPr="00D67092">
        <w:rPr>
          <w:rFonts w:asciiTheme="minorHAnsi" w:hAnsiTheme="minorHAnsi"/>
        </w:rPr>
        <w:t>Cafà’s</w:t>
      </w:r>
      <w:proofErr w:type="spellEnd"/>
      <w:r w:rsidRPr="00D67092">
        <w:rPr>
          <w:rFonts w:asciiTheme="minorHAnsi" w:hAnsiTheme="minorHAnsi"/>
        </w:rPr>
        <w:t xml:space="preserve"> Roman baroque figure stood out in isolation from the gilt </w:t>
      </w:r>
      <w:proofErr w:type="spellStart"/>
      <w:r w:rsidRPr="00D67092">
        <w:rPr>
          <w:rFonts w:asciiTheme="minorHAnsi" w:hAnsiTheme="minorHAnsi"/>
        </w:rPr>
        <w:t>polychromed</w:t>
      </w:r>
      <w:proofErr w:type="spellEnd"/>
      <w:r w:rsidRPr="00D67092">
        <w:rPr>
          <w:rFonts w:asciiTheme="minorHAnsi" w:hAnsiTheme="minorHAnsi"/>
        </w:rPr>
        <w:t xml:space="preserve"> wood of its surroundings, and spawned virtually no artistic progeny. I want to investigate why it remained isolated in this way, comparing it above all with the alabaster and wood sculpture produced in Lima in the seventeenth century, and the Spanish sculpture shipped to Peru during this period. The </w:t>
      </w:r>
      <w:proofErr w:type="spellStart"/>
      <w:r w:rsidRPr="00D67092">
        <w:rPr>
          <w:rFonts w:asciiTheme="minorHAnsi" w:hAnsiTheme="minorHAnsi"/>
        </w:rPr>
        <w:t>Cafà</w:t>
      </w:r>
      <w:proofErr w:type="spellEnd"/>
      <w:r w:rsidRPr="00D67092">
        <w:rPr>
          <w:rFonts w:asciiTheme="minorHAnsi" w:hAnsiTheme="minorHAnsi"/>
        </w:rPr>
        <w:t xml:space="preserve"> </w:t>
      </w:r>
      <w:proofErr w:type="spellStart"/>
      <w:r w:rsidRPr="00D67092">
        <w:rPr>
          <w:rFonts w:asciiTheme="minorHAnsi" w:hAnsiTheme="minorHAnsi"/>
          <w:i/>
        </w:rPr>
        <w:t>Sta</w:t>
      </w:r>
      <w:proofErr w:type="spellEnd"/>
      <w:r w:rsidRPr="00D67092">
        <w:rPr>
          <w:rFonts w:asciiTheme="minorHAnsi" w:hAnsiTheme="minorHAnsi"/>
          <w:i/>
        </w:rPr>
        <w:t xml:space="preserve"> Rosa</w:t>
      </w:r>
      <w:r w:rsidRPr="00D67092">
        <w:rPr>
          <w:rFonts w:asciiTheme="minorHAnsi" w:hAnsiTheme="minorHAnsi"/>
        </w:rPr>
        <w:t xml:space="preserve"> was not imitated partly because marble was unavailable in Central and South America, but more importantly because the very nature and colour of the material gave an aura and meaning to the image of the saint. Displayed like a relic, and resembling white flesh, this solemn marble work evoked different responses from those who were stirred by the coloured and gilded sculptures around it.  </w:t>
      </w:r>
    </w:p>
    <w:p w14:paraId="2024201F" w14:textId="77777777" w:rsidR="00524BCB" w:rsidRPr="00D67092" w:rsidRDefault="00524BCB" w:rsidP="004F39BD">
      <w:pPr>
        <w:rPr>
          <w:rStyle w:val="Emphasis"/>
          <w:rFonts w:asciiTheme="minorHAnsi" w:hAnsiTheme="minorHAnsi"/>
          <w:b/>
        </w:rPr>
      </w:pPr>
    </w:p>
    <w:p w14:paraId="6E79B062" w14:textId="3E579BE4" w:rsidR="00183372" w:rsidRPr="00D67092" w:rsidRDefault="00524BCB" w:rsidP="004F39BD">
      <w:pPr>
        <w:rPr>
          <w:rFonts w:asciiTheme="minorHAnsi" w:hAnsiTheme="minorHAnsi"/>
          <w:b/>
        </w:rPr>
      </w:pPr>
      <w:r w:rsidRPr="00D67092">
        <w:rPr>
          <w:rFonts w:asciiTheme="minorHAnsi" w:hAnsiTheme="minorHAnsi"/>
          <w:b/>
        </w:rPr>
        <w:t>Wh</w:t>
      </w:r>
      <w:r w:rsidR="00717579" w:rsidRPr="00D67092">
        <w:rPr>
          <w:rFonts w:asciiTheme="minorHAnsi" w:hAnsiTheme="minorHAnsi"/>
          <w:b/>
        </w:rPr>
        <w:t>itening the African b</w:t>
      </w:r>
      <w:r w:rsidR="00183372" w:rsidRPr="00D67092">
        <w:rPr>
          <w:rFonts w:asciiTheme="minorHAnsi" w:hAnsiTheme="minorHAnsi"/>
          <w:b/>
        </w:rPr>
        <w:t xml:space="preserve">ody in </w:t>
      </w:r>
      <w:r w:rsidR="00FC232E" w:rsidRPr="00D67092">
        <w:rPr>
          <w:rFonts w:asciiTheme="minorHAnsi" w:hAnsiTheme="minorHAnsi"/>
          <w:b/>
        </w:rPr>
        <w:t>E</w:t>
      </w:r>
      <w:r w:rsidR="00183372" w:rsidRPr="00D67092">
        <w:rPr>
          <w:rFonts w:asciiTheme="minorHAnsi" w:hAnsiTheme="minorHAnsi"/>
          <w:b/>
        </w:rPr>
        <w:t xml:space="preserve">arly </w:t>
      </w:r>
      <w:r w:rsidR="00FC232E" w:rsidRPr="00D67092">
        <w:rPr>
          <w:rFonts w:asciiTheme="minorHAnsi" w:hAnsiTheme="minorHAnsi"/>
          <w:b/>
        </w:rPr>
        <w:t>M</w:t>
      </w:r>
      <w:r w:rsidR="00183372" w:rsidRPr="00D67092">
        <w:rPr>
          <w:rFonts w:asciiTheme="minorHAnsi" w:hAnsiTheme="minorHAnsi"/>
          <w:b/>
        </w:rPr>
        <w:t>odern Spain</w:t>
      </w:r>
    </w:p>
    <w:p w14:paraId="4D7097C9" w14:textId="397FCBB3" w:rsidR="00183372" w:rsidRPr="00D67092" w:rsidRDefault="00183372" w:rsidP="004F39BD">
      <w:pPr>
        <w:rPr>
          <w:rFonts w:asciiTheme="minorHAnsi" w:hAnsiTheme="minorHAnsi"/>
          <w:i/>
        </w:rPr>
      </w:pPr>
      <w:r w:rsidRPr="00D67092">
        <w:rPr>
          <w:rFonts w:asciiTheme="minorHAnsi" w:hAnsiTheme="minorHAnsi"/>
          <w:i/>
        </w:rPr>
        <w:t xml:space="preserve">Carmen </w:t>
      </w:r>
      <w:proofErr w:type="spellStart"/>
      <w:r w:rsidRPr="00D67092">
        <w:rPr>
          <w:rFonts w:asciiTheme="minorHAnsi" w:hAnsiTheme="minorHAnsi"/>
          <w:i/>
        </w:rPr>
        <w:t>Fracchia</w:t>
      </w:r>
      <w:proofErr w:type="spellEnd"/>
      <w:r w:rsidRPr="00D67092">
        <w:rPr>
          <w:rFonts w:asciiTheme="minorHAnsi" w:hAnsiTheme="minorHAnsi"/>
          <w:i/>
        </w:rPr>
        <w:t>, University of London</w:t>
      </w:r>
      <w:r w:rsidR="00524BCB" w:rsidRPr="00D67092">
        <w:rPr>
          <w:rFonts w:asciiTheme="minorHAnsi" w:hAnsiTheme="minorHAnsi"/>
          <w:i/>
        </w:rPr>
        <w:t>, UK</w:t>
      </w:r>
    </w:p>
    <w:p w14:paraId="737BE158" w14:textId="77777777" w:rsidR="000B791E" w:rsidRPr="00D67092" w:rsidRDefault="000B791E" w:rsidP="000B791E">
      <w:pPr>
        <w:rPr>
          <w:rFonts w:asciiTheme="minorHAnsi" w:hAnsiTheme="minorHAnsi"/>
        </w:rPr>
      </w:pPr>
      <w:r w:rsidRPr="00D67092">
        <w:rPr>
          <w:rFonts w:asciiTheme="minorHAnsi" w:hAnsiTheme="minorHAnsi"/>
        </w:rPr>
        <w:t xml:space="preserve">The visual representation of Afro-Hispanic slaves during the dynasty of the Hapsburgs is a largely neglected area of research, considering that the Iberian empire was the epicentre of the transatlantic slave trade in sixteenth-century Europe. Its impact is evident in depictions of chained slaves in the crowns of Castile and Aragon by Northern European artists. These rare images had no resonance in Spanish art. This paper will thus explore the complex notions of slaves and the </w:t>
      </w:r>
      <w:proofErr w:type="spellStart"/>
      <w:r w:rsidRPr="00D67092">
        <w:rPr>
          <w:rFonts w:asciiTheme="minorHAnsi" w:hAnsiTheme="minorHAnsi"/>
        </w:rPr>
        <w:t>problematization</w:t>
      </w:r>
      <w:proofErr w:type="spellEnd"/>
      <w:r w:rsidRPr="00D67092">
        <w:rPr>
          <w:rFonts w:asciiTheme="minorHAnsi" w:hAnsiTheme="minorHAnsi"/>
        </w:rPr>
        <w:t xml:space="preserve"> of the whitening of the African body in the Spanish depiction of </w:t>
      </w:r>
      <w:r w:rsidRPr="00D67092">
        <w:rPr>
          <w:rFonts w:asciiTheme="minorHAnsi" w:hAnsiTheme="minorHAnsi"/>
          <w:i/>
        </w:rPr>
        <w:t>The Miracle of the Black Leg.</w:t>
      </w:r>
      <w:r w:rsidRPr="00D67092">
        <w:rPr>
          <w:rFonts w:asciiTheme="minorHAnsi" w:hAnsiTheme="minorHAnsi"/>
        </w:rPr>
        <w:t xml:space="preserve"> It will argue that the Castilian version foregrounds the new phenomenon of ethnic intermixture in imperial Spain. </w:t>
      </w:r>
    </w:p>
    <w:p w14:paraId="0B7E937A" w14:textId="77777777" w:rsidR="00183372" w:rsidRPr="00D67092" w:rsidRDefault="00183372" w:rsidP="004F39BD">
      <w:pPr>
        <w:widowControl w:val="0"/>
        <w:autoSpaceDE w:val="0"/>
        <w:autoSpaceDN w:val="0"/>
        <w:adjustRightInd w:val="0"/>
        <w:rPr>
          <w:rFonts w:asciiTheme="minorHAnsi" w:eastAsiaTheme="minorHAnsi" w:hAnsiTheme="minorHAnsi"/>
          <w:lang w:val="en-US" w:eastAsia="en-US"/>
        </w:rPr>
      </w:pPr>
    </w:p>
    <w:p w14:paraId="11EC65CC" w14:textId="3699E6C8" w:rsidR="00183372" w:rsidRPr="00D67092" w:rsidRDefault="00183372" w:rsidP="00183372">
      <w:pPr>
        <w:widowControl w:val="0"/>
        <w:autoSpaceDE w:val="0"/>
        <w:autoSpaceDN w:val="0"/>
        <w:adjustRightInd w:val="0"/>
        <w:rPr>
          <w:rFonts w:asciiTheme="minorHAnsi" w:eastAsiaTheme="minorHAnsi" w:hAnsiTheme="minorHAnsi"/>
          <w:lang w:val="en-US" w:eastAsia="en-US"/>
        </w:rPr>
      </w:pPr>
      <w:r w:rsidRPr="00D67092">
        <w:rPr>
          <w:rFonts w:asciiTheme="minorHAnsi" w:eastAsiaTheme="minorHAnsi" w:hAnsiTheme="minorHAnsi"/>
          <w:b/>
          <w:lang w:val="en-US" w:eastAsia="en-US"/>
        </w:rPr>
        <w:t xml:space="preserve">Madrid and the </w:t>
      </w:r>
      <w:r w:rsidR="00FC232E" w:rsidRPr="00D67092">
        <w:rPr>
          <w:rFonts w:asciiTheme="minorHAnsi" w:eastAsiaTheme="minorHAnsi" w:hAnsiTheme="minorHAnsi"/>
          <w:b/>
          <w:lang w:val="en-US" w:eastAsia="en-US"/>
        </w:rPr>
        <w:t>Wider World: Domestic A</w:t>
      </w:r>
      <w:r w:rsidRPr="00D67092">
        <w:rPr>
          <w:rFonts w:asciiTheme="minorHAnsi" w:eastAsiaTheme="minorHAnsi" w:hAnsiTheme="minorHAnsi"/>
          <w:b/>
          <w:lang w:val="en-US" w:eastAsia="en-US"/>
        </w:rPr>
        <w:t xml:space="preserve">rchitecture and the Spanish empire in the </w:t>
      </w:r>
      <w:r w:rsidR="00FC232E" w:rsidRPr="00D67092">
        <w:rPr>
          <w:rFonts w:asciiTheme="minorHAnsi" w:eastAsiaTheme="minorHAnsi" w:hAnsiTheme="minorHAnsi"/>
          <w:b/>
          <w:lang w:val="en-US" w:eastAsia="en-US"/>
        </w:rPr>
        <w:t>S</w:t>
      </w:r>
      <w:r w:rsidRPr="00D67092">
        <w:rPr>
          <w:rFonts w:asciiTheme="minorHAnsi" w:eastAsiaTheme="minorHAnsi" w:hAnsiTheme="minorHAnsi"/>
          <w:b/>
          <w:lang w:val="en-US" w:eastAsia="en-US"/>
        </w:rPr>
        <w:t>ixteenth century</w:t>
      </w:r>
    </w:p>
    <w:p w14:paraId="3509F89C" w14:textId="4CD35761" w:rsidR="00183372" w:rsidRPr="00D67092" w:rsidRDefault="00183372" w:rsidP="00183372">
      <w:pPr>
        <w:widowControl w:val="0"/>
        <w:autoSpaceDE w:val="0"/>
        <w:autoSpaceDN w:val="0"/>
        <w:adjustRightInd w:val="0"/>
        <w:rPr>
          <w:rFonts w:asciiTheme="minorHAnsi" w:eastAsiaTheme="minorHAnsi" w:hAnsiTheme="minorHAnsi"/>
          <w:i/>
          <w:lang w:val="en-US" w:eastAsia="en-US"/>
        </w:rPr>
      </w:pPr>
      <w:r w:rsidRPr="00D67092">
        <w:rPr>
          <w:rFonts w:asciiTheme="minorHAnsi" w:eastAsiaTheme="minorHAnsi" w:hAnsiTheme="minorHAnsi"/>
          <w:i/>
          <w:lang w:val="en-US" w:eastAsia="en-US"/>
        </w:rPr>
        <w:t xml:space="preserve">Laura Fernandez-Gonzalez, </w:t>
      </w:r>
      <w:r w:rsidR="00524BCB" w:rsidRPr="00D67092">
        <w:rPr>
          <w:rFonts w:asciiTheme="minorHAnsi" w:eastAsiaTheme="minorHAnsi" w:hAnsiTheme="minorHAnsi"/>
          <w:i/>
          <w:lang w:val="en-US" w:eastAsia="en-US"/>
        </w:rPr>
        <w:t xml:space="preserve">ESALA, University of Edinburgh, UK </w:t>
      </w:r>
    </w:p>
    <w:p w14:paraId="5A9346AC" w14:textId="77777777" w:rsidR="00DB68CC" w:rsidRPr="00D67092" w:rsidRDefault="00DB68CC" w:rsidP="00DB68CC">
      <w:pPr>
        <w:widowControl w:val="0"/>
        <w:autoSpaceDE w:val="0"/>
        <w:autoSpaceDN w:val="0"/>
        <w:adjustRightInd w:val="0"/>
        <w:rPr>
          <w:rFonts w:asciiTheme="minorHAnsi" w:hAnsiTheme="minorHAnsi"/>
        </w:rPr>
      </w:pPr>
      <w:r w:rsidRPr="00D67092">
        <w:rPr>
          <w:rFonts w:asciiTheme="minorHAnsi" w:hAnsiTheme="minorHAnsi"/>
        </w:rPr>
        <w:t>With Madrid as the capital of the Spanish empire from 1561, the Castilian monarchy designed new spaces in the old city that were intended to reflect imperial glory. Philip II regulated the building fabric in Madrid to conform to a homogeneous imperial city model. The relationship between the legislation enacted in Madrid and other cities in Iberia will be compared with architectural policies in America and Europe. This paper proposes a novel perspective on the utopian planning of Madrid in the period 1561-1584, through comparison with urban legislation enforced in other domains of the empire. With the use of comparative analysis, historical data and digital re-creation tools this paper proposes that we must reassess our understanding of Habsburg urbanism as a "transnational" phenomenon.</w:t>
      </w:r>
    </w:p>
    <w:p w14:paraId="5F0B11B2" w14:textId="77777777" w:rsidR="00183372" w:rsidRPr="00D67092" w:rsidRDefault="00183372" w:rsidP="004F39BD">
      <w:pPr>
        <w:widowControl w:val="0"/>
        <w:autoSpaceDE w:val="0"/>
        <w:autoSpaceDN w:val="0"/>
        <w:adjustRightInd w:val="0"/>
        <w:rPr>
          <w:rFonts w:asciiTheme="minorHAnsi" w:eastAsiaTheme="minorHAnsi" w:hAnsiTheme="minorHAnsi"/>
          <w:lang w:val="en-US" w:eastAsia="en-US"/>
        </w:rPr>
      </w:pPr>
    </w:p>
    <w:p w14:paraId="22F10ADF" w14:textId="77777777" w:rsidR="00FC232E" w:rsidRPr="00D67092" w:rsidRDefault="00FC232E" w:rsidP="004F39BD">
      <w:pPr>
        <w:widowControl w:val="0"/>
        <w:autoSpaceDE w:val="0"/>
        <w:autoSpaceDN w:val="0"/>
        <w:adjustRightInd w:val="0"/>
        <w:rPr>
          <w:rFonts w:asciiTheme="minorHAnsi" w:eastAsiaTheme="minorHAnsi" w:hAnsiTheme="minorHAnsi"/>
          <w:lang w:val="en-US" w:eastAsia="en-US"/>
        </w:rPr>
      </w:pPr>
    </w:p>
    <w:tbl>
      <w:tblPr>
        <w:tblStyle w:val="TableGrid"/>
        <w:tblW w:w="0" w:type="auto"/>
        <w:tblLook w:val="04A0" w:firstRow="1" w:lastRow="0" w:firstColumn="1" w:lastColumn="0" w:noHBand="0" w:noVBand="1"/>
      </w:tblPr>
      <w:tblGrid>
        <w:gridCol w:w="8516"/>
      </w:tblGrid>
      <w:tr w:rsidR="00FC232E" w:rsidRPr="00D67092" w14:paraId="27F06C9B" w14:textId="77777777" w:rsidTr="00FC232E">
        <w:tc>
          <w:tcPr>
            <w:tcW w:w="8516" w:type="dxa"/>
            <w:tcBorders>
              <w:top w:val="single" w:sz="4" w:space="0" w:color="FF0000"/>
              <w:left w:val="single" w:sz="4" w:space="0" w:color="FF0000"/>
              <w:bottom w:val="single" w:sz="4" w:space="0" w:color="FF0000"/>
              <w:right w:val="single" w:sz="4" w:space="0" w:color="FF0000"/>
            </w:tcBorders>
            <w:shd w:val="clear" w:color="auto" w:fill="FF0000"/>
          </w:tcPr>
          <w:p w14:paraId="4AA49B8E" w14:textId="13579B64" w:rsidR="00FC232E" w:rsidRPr="00D67092" w:rsidRDefault="00FC232E" w:rsidP="00FC232E">
            <w:pPr>
              <w:jc w:val="center"/>
              <w:rPr>
                <w:rFonts w:asciiTheme="minorHAnsi" w:hAnsiTheme="minorHAnsi"/>
                <w:i/>
                <w:color w:val="FFFFFF" w:themeColor="background1"/>
              </w:rPr>
            </w:pPr>
            <w:r w:rsidRPr="00D67092">
              <w:rPr>
                <w:rStyle w:val="Emphasis"/>
                <w:rFonts w:asciiTheme="minorHAnsi" w:hAnsiTheme="minorHAnsi"/>
                <w:b/>
                <w:color w:val="FFFFFF" w:themeColor="background1"/>
                <w:highlight w:val="red"/>
              </w:rPr>
              <w:t>Session 4: Modernity, Memory and Historiography</w:t>
            </w:r>
          </w:p>
        </w:tc>
      </w:tr>
    </w:tbl>
    <w:p w14:paraId="2BFCD047" w14:textId="77777777" w:rsidR="00FC232E" w:rsidRPr="00D67092" w:rsidRDefault="00FC232E" w:rsidP="004F39BD">
      <w:pPr>
        <w:widowControl w:val="0"/>
        <w:autoSpaceDE w:val="0"/>
        <w:autoSpaceDN w:val="0"/>
        <w:adjustRightInd w:val="0"/>
        <w:rPr>
          <w:rFonts w:asciiTheme="minorHAnsi" w:eastAsiaTheme="minorHAnsi" w:hAnsiTheme="minorHAnsi"/>
          <w:lang w:val="en-US" w:eastAsia="en-US"/>
        </w:rPr>
      </w:pPr>
    </w:p>
    <w:p w14:paraId="5063B01F" w14:textId="77777777" w:rsidR="00355922" w:rsidRPr="00D67092" w:rsidRDefault="00355922" w:rsidP="00355922">
      <w:pPr>
        <w:rPr>
          <w:rFonts w:asciiTheme="minorHAnsi" w:hAnsiTheme="minorHAnsi"/>
        </w:rPr>
      </w:pPr>
    </w:p>
    <w:p w14:paraId="1B687459" w14:textId="28AC81D2" w:rsidR="00765E68" w:rsidRPr="00D67092" w:rsidRDefault="00355922" w:rsidP="00355922">
      <w:pPr>
        <w:widowControl w:val="0"/>
        <w:autoSpaceDE w:val="0"/>
        <w:autoSpaceDN w:val="0"/>
        <w:adjustRightInd w:val="0"/>
        <w:rPr>
          <w:rFonts w:asciiTheme="minorHAnsi" w:eastAsiaTheme="minorHAnsi" w:hAnsiTheme="minorHAnsi"/>
          <w:b/>
          <w:lang w:val="en-US" w:eastAsia="en-US"/>
        </w:rPr>
      </w:pPr>
      <w:r w:rsidRPr="00D67092">
        <w:rPr>
          <w:rFonts w:asciiTheme="minorHAnsi" w:eastAsiaTheme="minorHAnsi" w:hAnsiTheme="minorHAnsi"/>
          <w:b/>
          <w:lang w:val="en-US" w:eastAsia="en-US"/>
        </w:rPr>
        <w:t>Translati</w:t>
      </w:r>
      <w:r w:rsidR="00FC232E" w:rsidRPr="00D67092">
        <w:rPr>
          <w:rFonts w:asciiTheme="minorHAnsi" w:eastAsiaTheme="minorHAnsi" w:hAnsiTheme="minorHAnsi"/>
          <w:b/>
          <w:lang w:val="en-US" w:eastAsia="en-US"/>
        </w:rPr>
        <w:t>ng Presence: P</w:t>
      </w:r>
      <w:r w:rsidR="00717579" w:rsidRPr="00D67092">
        <w:rPr>
          <w:rFonts w:asciiTheme="minorHAnsi" w:eastAsiaTheme="minorHAnsi" w:hAnsiTheme="minorHAnsi"/>
          <w:b/>
          <w:lang w:val="en-US" w:eastAsia="en-US"/>
        </w:rPr>
        <w:t xml:space="preserve">hotographing </w:t>
      </w:r>
      <w:r w:rsidR="00FC232E" w:rsidRPr="00D67092">
        <w:rPr>
          <w:rFonts w:asciiTheme="minorHAnsi" w:eastAsiaTheme="minorHAnsi" w:hAnsiTheme="minorHAnsi"/>
          <w:b/>
          <w:lang w:val="en-US" w:eastAsia="en-US"/>
        </w:rPr>
        <w:t>A</w:t>
      </w:r>
      <w:r w:rsidRPr="00D67092">
        <w:rPr>
          <w:rFonts w:asciiTheme="minorHAnsi" w:eastAsiaTheme="minorHAnsi" w:hAnsiTheme="minorHAnsi"/>
          <w:b/>
          <w:lang w:val="en-US" w:eastAsia="en-US"/>
        </w:rPr>
        <w:t>ctors</w:t>
      </w:r>
    </w:p>
    <w:p w14:paraId="11444111" w14:textId="46C2583B" w:rsidR="00355922" w:rsidRPr="00D67092" w:rsidRDefault="00765E68" w:rsidP="00355922">
      <w:pPr>
        <w:widowControl w:val="0"/>
        <w:autoSpaceDE w:val="0"/>
        <w:autoSpaceDN w:val="0"/>
        <w:adjustRightInd w:val="0"/>
        <w:rPr>
          <w:rFonts w:asciiTheme="minorHAnsi" w:eastAsiaTheme="minorHAnsi" w:hAnsiTheme="minorHAnsi"/>
          <w:i/>
          <w:lang w:val="en-US" w:eastAsia="en-US"/>
        </w:rPr>
      </w:pPr>
      <w:r w:rsidRPr="00D67092">
        <w:rPr>
          <w:rFonts w:asciiTheme="minorHAnsi" w:eastAsiaTheme="minorHAnsi" w:hAnsiTheme="minorHAnsi"/>
          <w:i/>
          <w:lang w:val="en-US" w:eastAsia="en-US"/>
        </w:rPr>
        <w:t>Andrew Ginger, University of Bristol</w:t>
      </w:r>
      <w:r w:rsidR="00524BCB" w:rsidRPr="00D67092">
        <w:rPr>
          <w:rFonts w:asciiTheme="minorHAnsi" w:eastAsiaTheme="minorHAnsi" w:hAnsiTheme="minorHAnsi"/>
          <w:i/>
          <w:lang w:val="en-US" w:eastAsia="en-US"/>
        </w:rPr>
        <w:t>, UK</w:t>
      </w:r>
      <w:r w:rsidRPr="00D67092">
        <w:rPr>
          <w:rFonts w:asciiTheme="minorHAnsi" w:eastAsiaTheme="minorHAnsi" w:hAnsiTheme="minorHAnsi"/>
          <w:i/>
          <w:lang w:val="en-US" w:eastAsia="en-US"/>
        </w:rPr>
        <w:t xml:space="preserve"> </w:t>
      </w:r>
    </w:p>
    <w:p w14:paraId="0280EEA3" w14:textId="24D965DC" w:rsidR="00355922" w:rsidRPr="00D67092" w:rsidRDefault="00355922" w:rsidP="00355922">
      <w:pPr>
        <w:widowControl w:val="0"/>
        <w:autoSpaceDE w:val="0"/>
        <w:autoSpaceDN w:val="0"/>
        <w:adjustRightInd w:val="0"/>
        <w:rPr>
          <w:rFonts w:asciiTheme="minorHAnsi" w:eastAsiaTheme="minorHAnsi" w:hAnsiTheme="minorHAnsi"/>
          <w:lang w:val="en-US" w:eastAsia="en-US"/>
        </w:rPr>
      </w:pPr>
      <w:r w:rsidRPr="00D67092">
        <w:rPr>
          <w:rFonts w:asciiTheme="minorHAnsi" w:eastAsiaTheme="minorHAnsi" w:hAnsiTheme="minorHAnsi"/>
          <w:lang w:val="en-US" w:eastAsia="en-US"/>
        </w:rPr>
        <w:t>The paper w</w:t>
      </w:r>
      <w:r w:rsidR="00524BCB" w:rsidRPr="00D67092">
        <w:rPr>
          <w:rFonts w:asciiTheme="minorHAnsi" w:eastAsiaTheme="minorHAnsi" w:hAnsiTheme="minorHAnsi"/>
          <w:lang w:val="en-US" w:eastAsia="en-US"/>
        </w:rPr>
        <w:t>ill</w:t>
      </w:r>
      <w:r w:rsidRPr="00D67092">
        <w:rPr>
          <w:rFonts w:asciiTheme="minorHAnsi" w:eastAsiaTheme="minorHAnsi" w:hAnsiTheme="minorHAnsi"/>
          <w:lang w:val="en-US" w:eastAsia="en-US"/>
        </w:rPr>
        <w:t xml:space="preserve"> look at the basis upon which it was plausible to</w:t>
      </w:r>
    </w:p>
    <w:p w14:paraId="274FA54E" w14:textId="77777777" w:rsidR="00355922" w:rsidRPr="00D67092" w:rsidRDefault="00355922" w:rsidP="00355922">
      <w:pPr>
        <w:widowControl w:val="0"/>
        <w:autoSpaceDE w:val="0"/>
        <w:autoSpaceDN w:val="0"/>
        <w:adjustRightInd w:val="0"/>
        <w:rPr>
          <w:rFonts w:asciiTheme="minorHAnsi" w:eastAsiaTheme="minorHAnsi" w:hAnsiTheme="minorHAnsi"/>
          <w:lang w:val="en-US" w:eastAsia="en-US"/>
        </w:rPr>
      </w:pPr>
      <w:proofErr w:type="gramStart"/>
      <w:r w:rsidRPr="00D67092">
        <w:rPr>
          <w:rFonts w:asciiTheme="minorHAnsi" w:eastAsiaTheme="minorHAnsi" w:hAnsiTheme="minorHAnsi"/>
          <w:lang w:val="en-US" w:eastAsia="en-US"/>
        </w:rPr>
        <w:t>nineteenth</w:t>
      </w:r>
      <w:proofErr w:type="gramEnd"/>
      <w:r w:rsidRPr="00D67092">
        <w:rPr>
          <w:rFonts w:asciiTheme="minorHAnsi" w:eastAsiaTheme="minorHAnsi" w:hAnsiTheme="minorHAnsi"/>
          <w:lang w:val="en-US" w:eastAsia="en-US"/>
        </w:rPr>
        <w:t>-century minds that the visual image of and created by a</w:t>
      </w:r>
    </w:p>
    <w:p w14:paraId="35855CC2" w14:textId="77777777" w:rsidR="00355922" w:rsidRPr="00D67092" w:rsidRDefault="00355922" w:rsidP="00355922">
      <w:pPr>
        <w:widowControl w:val="0"/>
        <w:autoSpaceDE w:val="0"/>
        <w:autoSpaceDN w:val="0"/>
        <w:adjustRightInd w:val="0"/>
        <w:rPr>
          <w:rFonts w:asciiTheme="minorHAnsi" w:eastAsiaTheme="minorHAnsi" w:hAnsiTheme="minorHAnsi"/>
          <w:lang w:val="en-US" w:eastAsia="en-US"/>
        </w:rPr>
      </w:pPr>
      <w:proofErr w:type="gramStart"/>
      <w:r w:rsidRPr="00D67092">
        <w:rPr>
          <w:rFonts w:asciiTheme="minorHAnsi" w:eastAsiaTheme="minorHAnsi" w:hAnsiTheme="minorHAnsi"/>
          <w:lang w:val="en-US" w:eastAsia="en-US"/>
        </w:rPr>
        <w:t>performer</w:t>
      </w:r>
      <w:proofErr w:type="gramEnd"/>
      <w:r w:rsidRPr="00D67092">
        <w:rPr>
          <w:rFonts w:asciiTheme="minorHAnsi" w:eastAsiaTheme="minorHAnsi" w:hAnsiTheme="minorHAnsi"/>
          <w:lang w:val="en-US" w:eastAsia="en-US"/>
        </w:rPr>
        <w:t xml:space="preserve"> could act as a transmitter of the presence of another person's</w:t>
      </w:r>
    </w:p>
    <w:p w14:paraId="58444A87" w14:textId="77777777" w:rsidR="00355922" w:rsidRPr="00D67092" w:rsidRDefault="00355922" w:rsidP="00355922">
      <w:pPr>
        <w:widowControl w:val="0"/>
        <w:autoSpaceDE w:val="0"/>
        <w:autoSpaceDN w:val="0"/>
        <w:adjustRightInd w:val="0"/>
        <w:rPr>
          <w:rFonts w:asciiTheme="minorHAnsi" w:eastAsiaTheme="minorHAnsi" w:hAnsiTheme="minorHAnsi"/>
          <w:lang w:val="en-US" w:eastAsia="en-US"/>
        </w:rPr>
      </w:pPr>
      <w:proofErr w:type="gramStart"/>
      <w:r w:rsidRPr="00D67092">
        <w:rPr>
          <w:rFonts w:asciiTheme="minorHAnsi" w:eastAsiaTheme="minorHAnsi" w:hAnsiTheme="minorHAnsi"/>
          <w:lang w:val="en-US" w:eastAsia="en-US"/>
        </w:rPr>
        <w:t>being</w:t>
      </w:r>
      <w:proofErr w:type="gramEnd"/>
      <w:r w:rsidRPr="00D67092">
        <w:rPr>
          <w:rFonts w:asciiTheme="minorHAnsi" w:eastAsiaTheme="minorHAnsi" w:hAnsiTheme="minorHAnsi"/>
          <w:lang w:val="en-US" w:eastAsia="en-US"/>
        </w:rPr>
        <w:t>. Subjection to the demands of an alien presence becomes,</w:t>
      </w:r>
    </w:p>
    <w:p w14:paraId="4EEC04E5" w14:textId="77777777" w:rsidR="00355922" w:rsidRPr="00D67092" w:rsidRDefault="00355922" w:rsidP="00355922">
      <w:pPr>
        <w:widowControl w:val="0"/>
        <w:autoSpaceDE w:val="0"/>
        <w:autoSpaceDN w:val="0"/>
        <w:adjustRightInd w:val="0"/>
        <w:rPr>
          <w:rFonts w:asciiTheme="minorHAnsi" w:eastAsiaTheme="minorHAnsi" w:hAnsiTheme="minorHAnsi"/>
          <w:lang w:val="en-US" w:eastAsia="en-US"/>
        </w:rPr>
      </w:pPr>
      <w:proofErr w:type="gramStart"/>
      <w:r w:rsidRPr="00D67092">
        <w:rPr>
          <w:rFonts w:asciiTheme="minorHAnsi" w:eastAsiaTheme="minorHAnsi" w:hAnsiTheme="minorHAnsi"/>
          <w:lang w:val="en-US" w:eastAsia="en-US"/>
        </w:rPr>
        <w:t>paradoxically</w:t>
      </w:r>
      <w:proofErr w:type="gramEnd"/>
      <w:r w:rsidRPr="00D67092">
        <w:rPr>
          <w:rFonts w:asciiTheme="minorHAnsi" w:eastAsiaTheme="minorHAnsi" w:hAnsiTheme="minorHAnsi"/>
          <w:lang w:val="en-US" w:eastAsia="en-US"/>
        </w:rPr>
        <w:t>, the means by which bodily forms are liberated to take on</w:t>
      </w:r>
    </w:p>
    <w:p w14:paraId="4F849597" w14:textId="77777777" w:rsidR="00355922" w:rsidRPr="00D67092" w:rsidRDefault="00355922" w:rsidP="00355922">
      <w:pPr>
        <w:widowControl w:val="0"/>
        <w:autoSpaceDE w:val="0"/>
        <w:autoSpaceDN w:val="0"/>
        <w:adjustRightInd w:val="0"/>
        <w:rPr>
          <w:rFonts w:asciiTheme="minorHAnsi" w:eastAsiaTheme="minorHAnsi" w:hAnsiTheme="minorHAnsi"/>
          <w:lang w:val="en-US" w:eastAsia="en-US"/>
        </w:rPr>
      </w:pPr>
      <w:proofErr w:type="gramStart"/>
      <w:r w:rsidRPr="00D67092">
        <w:rPr>
          <w:rFonts w:asciiTheme="minorHAnsi" w:eastAsiaTheme="minorHAnsi" w:hAnsiTheme="minorHAnsi"/>
          <w:lang w:val="en-US" w:eastAsia="en-US"/>
        </w:rPr>
        <w:t>new</w:t>
      </w:r>
      <w:proofErr w:type="gramEnd"/>
      <w:r w:rsidRPr="00D67092">
        <w:rPr>
          <w:rFonts w:asciiTheme="minorHAnsi" w:eastAsiaTheme="minorHAnsi" w:hAnsiTheme="minorHAnsi"/>
          <w:lang w:val="en-US" w:eastAsia="en-US"/>
        </w:rPr>
        <w:t xml:space="preserve"> shapes. The paper would explore potential parallels between such</w:t>
      </w:r>
    </w:p>
    <w:p w14:paraId="2C6B97E0" w14:textId="77777777" w:rsidR="00355922" w:rsidRPr="00D67092" w:rsidRDefault="00355922" w:rsidP="00355922">
      <w:pPr>
        <w:widowControl w:val="0"/>
        <w:autoSpaceDE w:val="0"/>
        <w:autoSpaceDN w:val="0"/>
        <w:adjustRightInd w:val="0"/>
        <w:rPr>
          <w:rFonts w:asciiTheme="minorHAnsi" w:eastAsiaTheme="minorHAnsi" w:hAnsiTheme="minorHAnsi"/>
          <w:lang w:val="en-US" w:eastAsia="en-US"/>
        </w:rPr>
      </w:pPr>
      <w:proofErr w:type="gramStart"/>
      <w:r w:rsidRPr="00D67092">
        <w:rPr>
          <w:rFonts w:asciiTheme="minorHAnsi" w:eastAsiaTheme="minorHAnsi" w:hAnsiTheme="minorHAnsi"/>
          <w:lang w:val="en-US" w:eastAsia="en-US"/>
        </w:rPr>
        <w:t>photographic</w:t>
      </w:r>
      <w:proofErr w:type="gramEnd"/>
      <w:r w:rsidRPr="00D67092">
        <w:rPr>
          <w:rFonts w:asciiTheme="minorHAnsi" w:eastAsiaTheme="minorHAnsi" w:hAnsiTheme="minorHAnsi"/>
          <w:lang w:val="en-US" w:eastAsia="en-US"/>
        </w:rPr>
        <w:t xml:space="preserve"> work and contemporaneous interest in hypnotism and speaking with spirits.</w:t>
      </w:r>
    </w:p>
    <w:p w14:paraId="36AE33EF" w14:textId="77777777" w:rsidR="00765E68" w:rsidRPr="00D67092" w:rsidRDefault="00765E68">
      <w:pPr>
        <w:rPr>
          <w:rFonts w:asciiTheme="minorHAnsi" w:hAnsiTheme="minorHAnsi"/>
        </w:rPr>
      </w:pPr>
    </w:p>
    <w:p w14:paraId="540B1D35" w14:textId="5632DBAD" w:rsidR="00C21DA8" w:rsidRPr="00D67092" w:rsidRDefault="00C21DA8" w:rsidP="00C21DA8">
      <w:pPr>
        <w:rPr>
          <w:rFonts w:asciiTheme="minorHAnsi" w:hAnsiTheme="minorHAnsi"/>
          <w:b/>
        </w:rPr>
      </w:pPr>
      <w:proofErr w:type="gramStart"/>
      <w:r w:rsidRPr="00D67092">
        <w:rPr>
          <w:rFonts w:asciiTheme="minorHAnsi" w:hAnsiTheme="minorHAnsi"/>
          <w:b/>
        </w:rPr>
        <w:t xml:space="preserve">In </w:t>
      </w:r>
      <w:r w:rsidR="00FC232E" w:rsidRPr="00D67092">
        <w:rPr>
          <w:rFonts w:asciiTheme="minorHAnsi" w:hAnsiTheme="minorHAnsi"/>
          <w:b/>
        </w:rPr>
        <w:t>T</w:t>
      </w:r>
      <w:r w:rsidR="00717579" w:rsidRPr="00D67092">
        <w:rPr>
          <w:rFonts w:asciiTheme="minorHAnsi" w:hAnsiTheme="minorHAnsi"/>
          <w:b/>
        </w:rPr>
        <w:t xml:space="preserve">rue </w:t>
      </w:r>
      <w:r w:rsidR="00FC232E" w:rsidRPr="00D67092">
        <w:rPr>
          <w:rFonts w:asciiTheme="minorHAnsi" w:hAnsiTheme="minorHAnsi"/>
          <w:b/>
        </w:rPr>
        <w:t>F</w:t>
      </w:r>
      <w:r w:rsidRPr="00D67092">
        <w:rPr>
          <w:rFonts w:asciiTheme="minorHAnsi" w:hAnsiTheme="minorHAnsi"/>
          <w:b/>
        </w:rPr>
        <w:t>acsimile?</w:t>
      </w:r>
      <w:proofErr w:type="gramEnd"/>
      <w:r w:rsidR="00FC232E" w:rsidRPr="00D67092">
        <w:rPr>
          <w:rFonts w:asciiTheme="minorHAnsi" w:hAnsiTheme="minorHAnsi"/>
          <w:b/>
        </w:rPr>
        <w:t xml:space="preserve"> </w:t>
      </w:r>
      <w:r w:rsidRPr="00D67092">
        <w:rPr>
          <w:rFonts w:asciiTheme="minorHAnsi" w:hAnsiTheme="minorHAnsi"/>
          <w:b/>
        </w:rPr>
        <w:t xml:space="preserve">: The </w:t>
      </w:r>
      <w:r w:rsidR="00FC232E" w:rsidRPr="00D67092">
        <w:rPr>
          <w:rFonts w:asciiTheme="minorHAnsi" w:hAnsiTheme="minorHAnsi"/>
          <w:b/>
        </w:rPr>
        <w:t>I</w:t>
      </w:r>
      <w:r w:rsidRPr="00D67092">
        <w:rPr>
          <w:rFonts w:asciiTheme="minorHAnsi" w:hAnsiTheme="minorHAnsi"/>
          <w:b/>
        </w:rPr>
        <w:t xml:space="preserve">nvention of </w:t>
      </w:r>
      <w:r w:rsidR="00FC232E" w:rsidRPr="00D67092">
        <w:rPr>
          <w:rFonts w:asciiTheme="minorHAnsi" w:hAnsiTheme="minorHAnsi"/>
          <w:b/>
        </w:rPr>
        <w:t>P</w:t>
      </w:r>
      <w:r w:rsidRPr="00D67092">
        <w:rPr>
          <w:rFonts w:asciiTheme="minorHAnsi" w:hAnsiTheme="minorHAnsi"/>
          <w:b/>
        </w:rPr>
        <w:t xml:space="preserve">hotography and the </w:t>
      </w:r>
      <w:r w:rsidR="00FC232E" w:rsidRPr="00D67092">
        <w:rPr>
          <w:rFonts w:asciiTheme="minorHAnsi" w:hAnsiTheme="minorHAnsi"/>
          <w:b/>
        </w:rPr>
        <w:t>R</w:t>
      </w:r>
      <w:r w:rsidRPr="00D67092">
        <w:rPr>
          <w:rFonts w:asciiTheme="minorHAnsi" w:hAnsiTheme="minorHAnsi"/>
          <w:b/>
        </w:rPr>
        <w:t xml:space="preserve">eproduction of Spanish </w:t>
      </w:r>
      <w:r w:rsidR="00717579" w:rsidRPr="00D67092">
        <w:rPr>
          <w:rFonts w:asciiTheme="minorHAnsi" w:hAnsiTheme="minorHAnsi"/>
          <w:b/>
        </w:rPr>
        <w:t>a</w:t>
      </w:r>
      <w:r w:rsidRPr="00D67092">
        <w:rPr>
          <w:rFonts w:asciiTheme="minorHAnsi" w:hAnsiTheme="minorHAnsi"/>
          <w:b/>
        </w:rPr>
        <w:t>rt</w:t>
      </w:r>
    </w:p>
    <w:p w14:paraId="496C5BBC" w14:textId="5C29AFF6" w:rsidR="00C21DA8" w:rsidRPr="00D67092" w:rsidRDefault="00C21DA8" w:rsidP="00C21DA8">
      <w:pPr>
        <w:rPr>
          <w:rFonts w:asciiTheme="minorHAnsi" w:hAnsiTheme="minorHAnsi"/>
          <w:i/>
        </w:rPr>
      </w:pPr>
      <w:r w:rsidRPr="00D67092">
        <w:rPr>
          <w:rFonts w:asciiTheme="minorHAnsi" w:hAnsiTheme="minorHAnsi"/>
          <w:i/>
        </w:rPr>
        <w:t xml:space="preserve">Hilary </w:t>
      </w:r>
      <w:proofErr w:type="spellStart"/>
      <w:r w:rsidRPr="00D67092">
        <w:rPr>
          <w:rFonts w:asciiTheme="minorHAnsi" w:hAnsiTheme="minorHAnsi"/>
          <w:i/>
        </w:rPr>
        <w:t>Macartney</w:t>
      </w:r>
      <w:proofErr w:type="spellEnd"/>
      <w:r w:rsidRPr="00D67092">
        <w:rPr>
          <w:rFonts w:asciiTheme="minorHAnsi" w:hAnsiTheme="minorHAnsi"/>
          <w:i/>
        </w:rPr>
        <w:t>, University of Glasgow</w:t>
      </w:r>
      <w:r w:rsidR="00524BCB" w:rsidRPr="00D67092">
        <w:rPr>
          <w:rFonts w:asciiTheme="minorHAnsi" w:hAnsiTheme="minorHAnsi"/>
          <w:i/>
        </w:rPr>
        <w:t>, UK</w:t>
      </w:r>
      <w:r w:rsidRPr="00D67092">
        <w:rPr>
          <w:rFonts w:asciiTheme="minorHAnsi" w:hAnsiTheme="minorHAnsi"/>
          <w:i/>
        </w:rPr>
        <w:t xml:space="preserve"> </w:t>
      </w:r>
    </w:p>
    <w:p w14:paraId="5D082133" w14:textId="77777777" w:rsidR="00C21DA8" w:rsidRPr="00D67092" w:rsidRDefault="00C21DA8" w:rsidP="00C21DA8">
      <w:pPr>
        <w:rPr>
          <w:rFonts w:asciiTheme="minorHAnsi" w:hAnsiTheme="minorHAnsi"/>
        </w:rPr>
      </w:pPr>
      <w:r w:rsidRPr="00D67092">
        <w:rPr>
          <w:rFonts w:asciiTheme="minorHAnsi" w:hAnsiTheme="minorHAnsi"/>
        </w:rPr>
        <w:t xml:space="preserve">This paper examines the relationship between traditional prints and photography in the reproduction of art, the development of photomechanical processes in book illustration, and the impact of all of these on the methodology of the emerging discipline of art history and the establishment of a canon of Spanish art during the nineteenth century. Focusing on pioneering writers on Golden Age in Spain such as Sir William Stirling Maxwell and Karl </w:t>
      </w:r>
      <w:proofErr w:type="spellStart"/>
      <w:r w:rsidRPr="00D67092">
        <w:rPr>
          <w:rFonts w:asciiTheme="minorHAnsi" w:hAnsiTheme="minorHAnsi"/>
        </w:rPr>
        <w:t>Justi</w:t>
      </w:r>
      <w:proofErr w:type="spellEnd"/>
      <w:r w:rsidRPr="00D67092">
        <w:rPr>
          <w:rFonts w:asciiTheme="minorHAnsi" w:hAnsiTheme="minorHAnsi"/>
        </w:rPr>
        <w:t>, it explores some of the concerns they expressed around the reliability of both new and established methods of reproduction of art and translation of meaning, and considers their continuing relevance in today’s digital age.</w:t>
      </w:r>
    </w:p>
    <w:p w14:paraId="1BEE7C91" w14:textId="77777777" w:rsidR="00C21DA8" w:rsidRPr="00D67092" w:rsidRDefault="00C21DA8" w:rsidP="00765E68">
      <w:pPr>
        <w:spacing w:line="360" w:lineRule="auto"/>
        <w:rPr>
          <w:rFonts w:asciiTheme="minorHAnsi" w:hAnsiTheme="minorHAnsi"/>
          <w:b/>
        </w:rPr>
      </w:pPr>
    </w:p>
    <w:p w14:paraId="272D94C1" w14:textId="6449A95E" w:rsidR="00765E68" w:rsidRPr="00D67092" w:rsidRDefault="00FC232E" w:rsidP="00183372">
      <w:pPr>
        <w:rPr>
          <w:rFonts w:asciiTheme="minorHAnsi" w:hAnsiTheme="minorHAnsi"/>
          <w:b/>
        </w:rPr>
      </w:pPr>
      <w:r w:rsidRPr="00D67092">
        <w:rPr>
          <w:rFonts w:asciiTheme="minorHAnsi" w:hAnsiTheme="minorHAnsi"/>
          <w:b/>
        </w:rPr>
        <w:t>Translations of C</w:t>
      </w:r>
      <w:r w:rsidR="00765E68" w:rsidRPr="00D67092">
        <w:rPr>
          <w:rFonts w:asciiTheme="minorHAnsi" w:hAnsiTheme="minorHAnsi"/>
          <w:b/>
        </w:rPr>
        <w:t>oncepts: Brazil, Hanna Levy and the Neo-Baroque</w:t>
      </w:r>
    </w:p>
    <w:p w14:paraId="1AB06DEF" w14:textId="45CAE6A8" w:rsidR="00765E68" w:rsidRPr="00D67092" w:rsidRDefault="00765E68" w:rsidP="00183372">
      <w:pPr>
        <w:rPr>
          <w:rFonts w:asciiTheme="minorHAnsi" w:hAnsiTheme="minorHAnsi"/>
          <w:i/>
        </w:rPr>
      </w:pPr>
      <w:r w:rsidRPr="00D67092">
        <w:rPr>
          <w:rFonts w:asciiTheme="minorHAnsi" w:hAnsiTheme="minorHAnsi"/>
          <w:i/>
        </w:rPr>
        <w:t xml:space="preserve">Jens </w:t>
      </w:r>
      <w:proofErr w:type="spellStart"/>
      <w:r w:rsidRPr="00D67092">
        <w:rPr>
          <w:rFonts w:asciiTheme="minorHAnsi" w:hAnsiTheme="minorHAnsi"/>
          <w:i/>
        </w:rPr>
        <w:t>Baumgarten</w:t>
      </w:r>
      <w:proofErr w:type="spellEnd"/>
      <w:r w:rsidRPr="00D67092">
        <w:rPr>
          <w:rFonts w:asciiTheme="minorHAnsi" w:hAnsiTheme="minorHAnsi"/>
          <w:i/>
        </w:rPr>
        <w:t xml:space="preserve">, </w:t>
      </w:r>
      <w:proofErr w:type="spellStart"/>
      <w:r w:rsidR="00183372" w:rsidRPr="00D67092">
        <w:rPr>
          <w:rFonts w:asciiTheme="minorHAnsi" w:hAnsiTheme="minorHAnsi"/>
          <w:i/>
        </w:rPr>
        <w:t>Universidade</w:t>
      </w:r>
      <w:proofErr w:type="spellEnd"/>
      <w:r w:rsidR="00183372" w:rsidRPr="00D67092">
        <w:rPr>
          <w:rFonts w:asciiTheme="minorHAnsi" w:hAnsiTheme="minorHAnsi"/>
          <w:i/>
        </w:rPr>
        <w:t xml:space="preserve"> Federal de São Paulo</w:t>
      </w:r>
      <w:r w:rsidR="00524BCB" w:rsidRPr="00D67092">
        <w:rPr>
          <w:rFonts w:asciiTheme="minorHAnsi" w:hAnsiTheme="minorHAnsi"/>
          <w:i/>
        </w:rPr>
        <w:t xml:space="preserve">, Brazil </w:t>
      </w:r>
    </w:p>
    <w:p w14:paraId="7D7617AD" w14:textId="77777777" w:rsidR="00765E68" w:rsidRPr="00D67092" w:rsidRDefault="00765E68" w:rsidP="00183372">
      <w:pPr>
        <w:rPr>
          <w:rFonts w:asciiTheme="minorHAnsi" w:hAnsiTheme="minorHAnsi"/>
        </w:rPr>
      </w:pPr>
      <w:r w:rsidRPr="00D67092">
        <w:rPr>
          <w:rFonts w:asciiTheme="minorHAnsi" w:hAnsiTheme="minorHAnsi"/>
        </w:rPr>
        <w:t xml:space="preserve">The paper intends to understand translation of concepts as double intertwined and focus on the circulation of concepts of the Baroque in Central Europe and Brazil as well as the re-appropriation of this variously reflected historical Baroque in the Neo-Baroque. A historiographical and analytical reading of Hanna Levy’s articles who immigrated to Brazil from Europe and has written in the 40s and 50s of the 20th century about the Colonial Brazilian arts and theories about Baroque shows not only a first “postcolonial” understanding of the colonial arts’ production, but also emphasizes an approach that combines formal and iconographical analysis beyond national stereotypes. Postcolonial theory defines the ‘in between’ as a central theoretical and methodological position. As an early Brazilian position in the art historical discourse in the first half of the 20th Century, it had its predecessors in the modernist concepts of ‘anthropophagy’. This ‘digestion’ of different cultures created a genuine autochthonous Brazilian art is related to notions of Renaissance and Baroque from a European perspective. Parallel to the modernist art production, a variety of different simulacra were created in a complex visual system – constructing and deconstructing layers of identity discourses. The art historical debate depreciated, for example, copies of Michelangelo’s Sistine Chapel in Brazilian churches of the 20th century as kitsch. The focus of the paper will be on the aesthetic, religious, and political contexts and on the problem of the Western canon of art in regards to South America and the proper definition and place of postcolonial debates. </w:t>
      </w:r>
    </w:p>
    <w:p w14:paraId="36774E58" w14:textId="77777777" w:rsidR="00183372" w:rsidRPr="00D67092" w:rsidRDefault="00183372" w:rsidP="00183372">
      <w:pPr>
        <w:widowControl w:val="0"/>
        <w:autoSpaceDE w:val="0"/>
        <w:autoSpaceDN w:val="0"/>
        <w:adjustRightInd w:val="0"/>
        <w:rPr>
          <w:rFonts w:asciiTheme="minorHAnsi" w:eastAsiaTheme="minorHAnsi" w:hAnsiTheme="minorHAnsi"/>
          <w:color w:val="003F9F"/>
          <w:lang w:val="en-US" w:eastAsia="en-US"/>
        </w:rPr>
      </w:pPr>
    </w:p>
    <w:p w14:paraId="1A05619C" w14:textId="241E1BD8" w:rsidR="00183372" w:rsidRPr="00D67092" w:rsidRDefault="00183372" w:rsidP="00183372">
      <w:pPr>
        <w:widowControl w:val="0"/>
        <w:autoSpaceDE w:val="0"/>
        <w:autoSpaceDN w:val="0"/>
        <w:adjustRightInd w:val="0"/>
        <w:rPr>
          <w:rFonts w:asciiTheme="minorHAnsi" w:eastAsiaTheme="minorHAnsi" w:hAnsiTheme="minorHAnsi"/>
          <w:b/>
          <w:lang w:val="en-US" w:eastAsia="en-US"/>
        </w:rPr>
      </w:pPr>
      <w:r w:rsidRPr="00D67092">
        <w:rPr>
          <w:rFonts w:asciiTheme="minorHAnsi" w:eastAsiaTheme="minorHAnsi" w:hAnsiTheme="minorHAnsi"/>
          <w:b/>
          <w:lang w:val="en-US" w:eastAsia="en-US"/>
        </w:rPr>
        <w:t xml:space="preserve">Faraway </w:t>
      </w:r>
      <w:r w:rsidR="00FC232E" w:rsidRPr="00D67092">
        <w:rPr>
          <w:rFonts w:asciiTheme="minorHAnsi" w:eastAsiaTheme="minorHAnsi" w:hAnsiTheme="minorHAnsi"/>
          <w:b/>
          <w:lang w:val="en-US" w:eastAsia="en-US"/>
        </w:rPr>
        <w:t>T</w:t>
      </w:r>
      <w:r w:rsidRPr="00D67092">
        <w:rPr>
          <w:rFonts w:asciiTheme="minorHAnsi" w:eastAsiaTheme="minorHAnsi" w:hAnsiTheme="minorHAnsi"/>
          <w:b/>
          <w:lang w:val="en-US" w:eastAsia="en-US"/>
        </w:rPr>
        <w:t xml:space="preserve">ools for </w:t>
      </w:r>
      <w:r w:rsidR="00FC232E" w:rsidRPr="00D67092">
        <w:rPr>
          <w:rFonts w:asciiTheme="minorHAnsi" w:eastAsiaTheme="minorHAnsi" w:hAnsiTheme="minorHAnsi"/>
          <w:b/>
          <w:lang w:val="en-US" w:eastAsia="en-US"/>
        </w:rPr>
        <w:t>L</w:t>
      </w:r>
      <w:r w:rsidRPr="00D67092">
        <w:rPr>
          <w:rFonts w:asciiTheme="minorHAnsi" w:eastAsiaTheme="minorHAnsi" w:hAnsiTheme="minorHAnsi"/>
          <w:b/>
          <w:lang w:val="en-US" w:eastAsia="en-US"/>
        </w:rPr>
        <w:t xml:space="preserve">ocal tales: </w:t>
      </w:r>
      <w:r w:rsidR="00FC232E" w:rsidRPr="00D67092">
        <w:rPr>
          <w:rFonts w:asciiTheme="minorHAnsi" w:eastAsiaTheme="minorHAnsi" w:hAnsiTheme="minorHAnsi"/>
          <w:b/>
          <w:lang w:val="en-US" w:eastAsia="en-US"/>
        </w:rPr>
        <w:t>Uses and A</w:t>
      </w:r>
      <w:r w:rsidRPr="00D67092">
        <w:rPr>
          <w:rFonts w:asciiTheme="minorHAnsi" w:eastAsiaTheme="minorHAnsi" w:hAnsiTheme="minorHAnsi"/>
          <w:b/>
          <w:lang w:val="en-US" w:eastAsia="en-US"/>
        </w:rPr>
        <w:t>ppropriation of European</w:t>
      </w:r>
    </w:p>
    <w:p w14:paraId="5B7E56C4" w14:textId="45246BB1" w:rsidR="00183372" w:rsidRPr="00D67092" w:rsidRDefault="00FC232E" w:rsidP="00183372">
      <w:pPr>
        <w:widowControl w:val="0"/>
        <w:autoSpaceDE w:val="0"/>
        <w:autoSpaceDN w:val="0"/>
        <w:adjustRightInd w:val="0"/>
        <w:rPr>
          <w:rFonts w:asciiTheme="minorHAnsi" w:eastAsiaTheme="minorHAnsi" w:hAnsiTheme="minorHAnsi"/>
          <w:b/>
          <w:lang w:val="en-US" w:eastAsia="en-US"/>
        </w:rPr>
      </w:pPr>
      <w:r w:rsidRPr="00D67092">
        <w:rPr>
          <w:rFonts w:asciiTheme="minorHAnsi" w:eastAsiaTheme="minorHAnsi" w:hAnsiTheme="minorHAnsi"/>
          <w:b/>
          <w:lang w:val="en-US" w:eastAsia="en-US"/>
        </w:rPr>
        <w:t>Theories and M</w:t>
      </w:r>
      <w:r w:rsidR="00183372" w:rsidRPr="00D67092">
        <w:rPr>
          <w:rFonts w:asciiTheme="minorHAnsi" w:eastAsiaTheme="minorHAnsi" w:hAnsiTheme="minorHAnsi"/>
          <w:b/>
          <w:lang w:val="en-US" w:eastAsia="en-US"/>
        </w:rPr>
        <w:t xml:space="preserve">ethods in the </w:t>
      </w:r>
      <w:r w:rsidRPr="00D67092">
        <w:rPr>
          <w:rFonts w:asciiTheme="minorHAnsi" w:eastAsiaTheme="minorHAnsi" w:hAnsiTheme="minorHAnsi"/>
          <w:b/>
          <w:lang w:val="en-US" w:eastAsia="en-US"/>
        </w:rPr>
        <w:t>C</w:t>
      </w:r>
      <w:r w:rsidR="00183372" w:rsidRPr="00D67092">
        <w:rPr>
          <w:rFonts w:asciiTheme="minorHAnsi" w:eastAsiaTheme="minorHAnsi" w:hAnsiTheme="minorHAnsi"/>
          <w:b/>
          <w:lang w:val="en-US" w:eastAsia="en-US"/>
        </w:rPr>
        <w:t xml:space="preserve">onstruction of a </w:t>
      </w:r>
      <w:r w:rsidRPr="00D67092">
        <w:rPr>
          <w:rFonts w:asciiTheme="minorHAnsi" w:eastAsiaTheme="minorHAnsi" w:hAnsiTheme="minorHAnsi"/>
          <w:b/>
          <w:lang w:val="en-US" w:eastAsia="en-US"/>
        </w:rPr>
        <w:t>N</w:t>
      </w:r>
      <w:r w:rsidR="00183372" w:rsidRPr="00D67092">
        <w:rPr>
          <w:rFonts w:asciiTheme="minorHAnsi" w:eastAsiaTheme="minorHAnsi" w:hAnsiTheme="minorHAnsi"/>
          <w:b/>
          <w:lang w:val="en-US" w:eastAsia="en-US"/>
        </w:rPr>
        <w:t xml:space="preserve">ational </w:t>
      </w:r>
      <w:r w:rsidRPr="00D67092">
        <w:rPr>
          <w:rFonts w:asciiTheme="minorHAnsi" w:eastAsiaTheme="minorHAnsi" w:hAnsiTheme="minorHAnsi"/>
          <w:b/>
          <w:lang w:val="en-US" w:eastAsia="en-US"/>
        </w:rPr>
        <w:t>A</w:t>
      </w:r>
      <w:r w:rsidR="00183372" w:rsidRPr="00D67092">
        <w:rPr>
          <w:rFonts w:asciiTheme="minorHAnsi" w:eastAsiaTheme="minorHAnsi" w:hAnsiTheme="minorHAnsi"/>
          <w:b/>
          <w:lang w:val="en-US" w:eastAsia="en-US"/>
        </w:rPr>
        <w:t xml:space="preserve">rt </w:t>
      </w:r>
      <w:r w:rsidRPr="00D67092">
        <w:rPr>
          <w:rFonts w:asciiTheme="minorHAnsi" w:eastAsiaTheme="minorHAnsi" w:hAnsiTheme="minorHAnsi"/>
          <w:b/>
          <w:lang w:val="en-US" w:eastAsia="en-US"/>
        </w:rPr>
        <w:t>H</w:t>
      </w:r>
      <w:r w:rsidR="00183372" w:rsidRPr="00D67092">
        <w:rPr>
          <w:rFonts w:asciiTheme="minorHAnsi" w:eastAsiaTheme="minorHAnsi" w:hAnsiTheme="minorHAnsi"/>
          <w:b/>
          <w:lang w:val="en-US" w:eastAsia="en-US"/>
        </w:rPr>
        <w:t>istory in</w:t>
      </w:r>
    </w:p>
    <w:p w14:paraId="18D386C8" w14:textId="77777777" w:rsidR="00183372" w:rsidRPr="00D67092" w:rsidRDefault="00183372" w:rsidP="00183372">
      <w:pPr>
        <w:widowControl w:val="0"/>
        <w:autoSpaceDE w:val="0"/>
        <w:autoSpaceDN w:val="0"/>
        <w:adjustRightInd w:val="0"/>
        <w:rPr>
          <w:rFonts w:asciiTheme="minorHAnsi" w:eastAsiaTheme="minorHAnsi" w:hAnsiTheme="minorHAnsi"/>
          <w:b/>
          <w:lang w:val="en-US" w:eastAsia="en-US"/>
        </w:rPr>
      </w:pPr>
      <w:r w:rsidRPr="00D67092">
        <w:rPr>
          <w:rFonts w:asciiTheme="minorHAnsi" w:eastAsiaTheme="minorHAnsi" w:hAnsiTheme="minorHAnsi"/>
          <w:b/>
          <w:lang w:val="en-US" w:eastAsia="en-US"/>
        </w:rPr>
        <w:t>Argentina</w:t>
      </w:r>
    </w:p>
    <w:p w14:paraId="05E65783" w14:textId="7C097505" w:rsidR="00183372" w:rsidRPr="00D67092" w:rsidRDefault="00183372" w:rsidP="00183372">
      <w:pPr>
        <w:widowControl w:val="0"/>
        <w:autoSpaceDE w:val="0"/>
        <w:autoSpaceDN w:val="0"/>
        <w:adjustRightInd w:val="0"/>
        <w:rPr>
          <w:rFonts w:asciiTheme="minorHAnsi" w:eastAsiaTheme="minorHAnsi" w:hAnsiTheme="minorHAnsi"/>
          <w:i/>
          <w:lang w:val="en-US" w:eastAsia="en-US"/>
        </w:rPr>
      </w:pPr>
      <w:r w:rsidRPr="00D67092">
        <w:rPr>
          <w:rFonts w:asciiTheme="minorHAnsi" w:eastAsiaTheme="minorHAnsi" w:hAnsiTheme="minorHAnsi"/>
          <w:i/>
          <w:lang w:val="en-US" w:eastAsia="en-US"/>
        </w:rPr>
        <w:t xml:space="preserve">Gabriela </w:t>
      </w:r>
      <w:proofErr w:type="spellStart"/>
      <w:r w:rsidRPr="00D67092">
        <w:rPr>
          <w:rFonts w:asciiTheme="minorHAnsi" w:eastAsiaTheme="minorHAnsi" w:hAnsiTheme="minorHAnsi"/>
          <w:i/>
          <w:lang w:val="en-US" w:eastAsia="en-US"/>
        </w:rPr>
        <w:t>Siracusano</w:t>
      </w:r>
      <w:proofErr w:type="spellEnd"/>
      <w:r w:rsidRPr="00D67092">
        <w:rPr>
          <w:rFonts w:asciiTheme="minorHAnsi" w:eastAsiaTheme="minorHAnsi" w:hAnsiTheme="minorHAnsi"/>
          <w:i/>
          <w:lang w:val="en-US" w:eastAsia="en-US"/>
        </w:rPr>
        <w:t xml:space="preserve">, </w:t>
      </w:r>
      <w:proofErr w:type="spellStart"/>
      <w:r w:rsidRPr="00D67092">
        <w:rPr>
          <w:rFonts w:asciiTheme="minorHAnsi" w:hAnsiTheme="minorHAnsi"/>
          <w:i/>
        </w:rPr>
        <w:t>Instituto</w:t>
      </w:r>
      <w:proofErr w:type="spellEnd"/>
      <w:r w:rsidRPr="00D67092">
        <w:rPr>
          <w:rFonts w:asciiTheme="minorHAnsi" w:hAnsiTheme="minorHAnsi"/>
          <w:i/>
        </w:rPr>
        <w:t xml:space="preserve"> de </w:t>
      </w:r>
      <w:proofErr w:type="spellStart"/>
      <w:r w:rsidRPr="00D67092">
        <w:rPr>
          <w:rFonts w:asciiTheme="minorHAnsi" w:hAnsiTheme="minorHAnsi"/>
          <w:i/>
        </w:rPr>
        <w:t>Investigaciones</w:t>
      </w:r>
      <w:proofErr w:type="spellEnd"/>
      <w:r w:rsidRPr="00D67092">
        <w:rPr>
          <w:rFonts w:asciiTheme="minorHAnsi" w:hAnsiTheme="minorHAnsi"/>
          <w:i/>
        </w:rPr>
        <w:t xml:space="preserve"> </w:t>
      </w:r>
      <w:proofErr w:type="spellStart"/>
      <w:r w:rsidRPr="00D67092">
        <w:rPr>
          <w:rFonts w:asciiTheme="minorHAnsi" w:hAnsiTheme="minorHAnsi"/>
          <w:i/>
        </w:rPr>
        <w:t>sobre</w:t>
      </w:r>
      <w:proofErr w:type="spellEnd"/>
      <w:r w:rsidRPr="00D67092">
        <w:rPr>
          <w:rFonts w:asciiTheme="minorHAnsi" w:hAnsiTheme="minorHAnsi"/>
          <w:i/>
        </w:rPr>
        <w:t xml:space="preserve"> el </w:t>
      </w:r>
      <w:proofErr w:type="spellStart"/>
      <w:r w:rsidRPr="00D67092">
        <w:rPr>
          <w:rFonts w:asciiTheme="minorHAnsi" w:hAnsiTheme="minorHAnsi"/>
          <w:i/>
        </w:rPr>
        <w:t>Patrimonio</w:t>
      </w:r>
      <w:proofErr w:type="spellEnd"/>
      <w:r w:rsidRPr="00D67092">
        <w:rPr>
          <w:rFonts w:asciiTheme="minorHAnsi" w:hAnsiTheme="minorHAnsi"/>
          <w:i/>
        </w:rPr>
        <w:t xml:space="preserve"> Cultural Universidad </w:t>
      </w:r>
      <w:proofErr w:type="spellStart"/>
      <w:r w:rsidRPr="00D67092">
        <w:rPr>
          <w:rFonts w:asciiTheme="minorHAnsi" w:hAnsiTheme="minorHAnsi"/>
          <w:i/>
        </w:rPr>
        <w:t>Nacional</w:t>
      </w:r>
      <w:proofErr w:type="spellEnd"/>
      <w:r w:rsidRPr="00D67092">
        <w:rPr>
          <w:rFonts w:asciiTheme="minorHAnsi" w:hAnsiTheme="minorHAnsi"/>
          <w:i/>
        </w:rPr>
        <w:t xml:space="preserve"> de San Martín (UNSAM)</w:t>
      </w:r>
      <w:r w:rsidR="00524BCB" w:rsidRPr="00D67092">
        <w:rPr>
          <w:rFonts w:asciiTheme="minorHAnsi" w:hAnsiTheme="minorHAnsi"/>
          <w:i/>
        </w:rPr>
        <w:t>, Argentina</w:t>
      </w:r>
    </w:p>
    <w:p w14:paraId="70B8008C" w14:textId="77777777" w:rsidR="00183372" w:rsidRPr="00D67092" w:rsidRDefault="00183372" w:rsidP="00183372">
      <w:pPr>
        <w:widowControl w:val="0"/>
        <w:autoSpaceDE w:val="0"/>
        <w:autoSpaceDN w:val="0"/>
        <w:adjustRightInd w:val="0"/>
        <w:rPr>
          <w:rFonts w:asciiTheme="minorHAnsi" w:eastAsiaTheme="minorHAnsi" w:hAnsiTheme="minorHAnsi"/>
          <w:lang w:val="en-US" w:eastAsia="en-US"/>
        </w:rPr>
      </w:pPr>
      <w:r w:rsidRPr="00D67092">
        <w:rPr>
          <w:rFonts w:asciiTheme="minorHAnsi" w:eastAsiaTheme="minorHAnsi" w:hAnsiTheme="minorHAnsi"/>
          <w:lang w:val="en-US" w:eastAsia="en-US"/>
        </w:rPr>
        <w:t>This talk will focus on the uses and translation of foreign ideas and</w:t>
      </w:r>
    </w:p>
    <w:p w14:paraId="5DF9F165" w14:textId="77777777" w:rsidR="00183372" w:rsidRPr="00D67092" w:rsidRDefault="00183372" w:rsidP="00183372">
      <w:pPr>
        <w:widowControl w:val="0"/>
        <w:autoSpaceDE w:val="0"/>
        <w:autoSpaceDN w:val="0"/>
        <w:adjustRightInd w:val="0"/>
        <w:rPr>
          <w:rFonts w:asciiTheme="minorHAnsi" w:eastAsiaTheme="minorHAnsi" w:hAnsiTheme="minorHAnsi"/>
          <w:lang w:val="en-US" w:eastAsia="en-US"/>
        </w:rPr>
      </w:pPr>
      <w:proofErr w:type="gramStart"/>
      <w:r w:rsidRPr="00D67092">
        <w:rPr>
          <w:rFonts w:asciiTheme="minorHAnsi" w:eastAsiaTheme="minorHAnsi" w:hAnsiTheme="minorHAnsi"/>
          <w:lang w:val="en-US" w:eastAsia="en-US"/>
        </w:rPr>
        <w:t>concepts</w:t>
      </w:r>
      <w:proofErr w:type="gramEnd"/>
      <w:r w:rsidRPr="00D67092">
        <w:rPr>
          <w:rFonts w:asciiTheme="minorHAnsi" w:eastAsiaTheme="minorHAnsi" w:hAnsiTheme="minorHAnsi"/>
          <w:lang w:val="en-US" w:eastAsia="en-US"/>
        </w:rPr>
        <w:t xml:space="preserve"> concerning the writing of art history in the South American</w:t>
      </w:r>
    </w:p>
    <w:p w14:paraId="58AE9751" w14:textId="77777777" w:rsidR="00DC2CAF" w:rsidRPr="00D67092" w:rsidRDefault="00183372" w:rsidP="00183372">
      <w:pPr>
        <w:widowControl w:val="0"/>
        <w:autoSpaceDE w:val="0"/>
        <w:autoSpaceDN w:val="0"/>
        <w:adjustRightInd w:val="0"/>
        <w:rPr>
          <w:rFonts w:asciiTheme="minorHAnsi" w:eastAsiaTheme="minorHAnsi" w:hAnsiTheme="minorHAnsi"/>
          <w:lang w:val="en-US" w:eastAsia="en-US"/>
        </w:rPr>
      </w:pPr>
      <w:proofErr w:type="gramStart"/>
      <w:r w:rsidRPr="00D67092">
        <w:rPr>
          <w:rFonts w:asciiTheme="minorHAnsi" w:eastAsiaTheme="minorHAnsi" w:hAnsiTheme="minorHAnsi"/>
          <w:lang w:val="en-US" w:eastAsia="en-US"/>
        </w:rPr>
        <w:t>region</w:t>
      </w:r>
      <w:proofErr w:type="gramEnd"/>
      <w:r w:rsidRPr="00D67092">
        <w:rPr>
          <w:rFonts w:asciiTheme="minorHAnsi" w:eastAsiaTheme="minorHAnsi" w:hAnsiTheme="minorHAnsi"/>
          <w:lang w:val="en-US" w:eastAsia="en-US"/>
        </w:rPr>
        <w:t xml:space="preserve">, specially in Argentina. </w:t>
      </w:r>
    </w:p>
    <w:p w14:paraId="3CEFE048" w14:textId="77777777" w:rsidR="00DC2CAF" w:rsidRPr="00D67092" w:rsidRDefault="00DC2CAF" w:rsidP="00183372">
      <w:pPr>
        <w:widowControl w:val="0"/>
        <w:autoSpaceDE w:val="0"/>
        <w:autoSpaceDN w:val="0"/>
        <w:adjustRightInd w:val="0"/>
        <w:rPr>
          <w:rFonts w:asciiTheme="minorHAnsi" w:eastAsiaTheme="minorHAnsi" w:hAnsiTheme="minorHAnsi"/>
          <w:lang w:val="en-US" w:eastAsia="en-US"/>
        </w:rPr>
      </w:pPr>
    </w:p>
    <w:sectPr w:rsidR="00DC2CAF" w:rsidRPr="00D67092" w:rsidSect="00765E6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55922"/>
    <w:rsid w:val="00036E08"/>
    <w:rsid w:val="00074AEE"/>
    <w:rsid w:val="000B791E"/>
    <w:rsid w:val="00183372"/>
    <w:rsid w:val="00240FA9"/>
    <w:rsid w:val="00355922"/>
    <w:rsid w:val="003B2BE6"/>
    <w:rsid w:val="004E00C4"/>
    <w:rsid w:val="004F39BD"/>
    <w:rsid w:val="00524BCB"/>
    <w:rsid w:val="006870EB"/>
    <w:rsid w:val="007007BB"/>
    <w:rsid w:val="00717579"/>
    <w:rsid w:val="00765E68"/>
    <w:rsid w:val="009461C3"/>
    <w:rsid w:val="00BB71AE"/>
    <w:rsid w:val="00C21DA8"/>
    <w:rsid w:val="00C71DBD"/>
    <w:rsid w:val="00CB3EFF"/>
    <w:rsid w:val="00CE6AA1"/>
    <w:rsid w:val="00D67092"/>
    <w:rsid w:val="00DB68CC"/>
    <w:rsid w:val="00DC2CAF"/>
    <w:rsid w:val="00FC23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7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35592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183372"/>
    <w:rPr>
      <w:i/>
    </w:rPr>
  </w:style>
  <w:style w:type="table" w:styleId="TableGrid">
    <w:name w:val="Table Grid"/>
    <w:basedOn w:val="TableNormal"/>
    <w:uiPriority w:val="59"/>
    <w:rsid w:val="00FC23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1871</Words>
  <Characters>10666</Characters>
  <Application>Microsoft Macintosh Word</Application>
  <DocSecurity>0</DocSecurity>
  <Lines>88</Lines>
  <Paragraphs>25</Paragraphs>
  <ScaleCrop>false</ScaleCrop>
  <Company>University of Edinburgh</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Heide</dc:creator>
  <cp:keywords/>
  <cp:lastModifiedBy>Claudia HEIDE</cp:lastModifiedBy>
  <cp:revision>7</cp:revision>
  <cp:lastPrinted>2013-10-21T14:45:00Z</cp:lastPrinted>
  <dcterms:created xsi:type="dcterms:W3CDTF">2013-04-01T12:50:00Z</dcterms:created>
  <dcterms:modified xsi:type="dcterms:W3CDTF">2013-10-21T16:20:00Z</dcterms:modified>
</cp:coreProperties>
</file>